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C6B27" w:rsidRDefault="009C6B27">
      <w:pPr>
        <w:pStyle w:val="BodyText"/>
        <w:rPr>
          <w:rFonts w:ascii="Times New Roman"/>
          <w:i w:val="0"/>
          <w:sz w:val="24"/>
        </w:rPr>
      </w:pPr>
    </w:p>
    <w:p w14:paraId="0A37501D" w14:textId="77777777" w:rsidR="009C6B27" w:rsidRDefault="009C6B27">
      <w:pPr>
        <w:pStyle w:val="BodyText"/>
        <w:rPr>
          <w:rFonts w:ascii="Times New Roman"/>
          <w:i w:val="0"/>
          <w:sz w:val="24"/>
        </w:rPr>
      </w:pPr>
    </w:p>
    <w:p w14:paraId="5DAB6C7B" w14:textId="77777777" w:rsidR="009C6B27" w:rsidRDefault="009C6B27" w:rsidP="451637E2">
      <w:pPr>
        <w:pStyle w:val="BodyText"/>
        <w:spacing w:before="1"/>
        <w:rPr>
          <w:rFonts w:ascii="Times New Roman"/>
          <w:i w:val="0"/>
          <w:sz w:val="29"/>
          <w:szCs w:val="29"/>
        </w:rPr>
      </w:pPr>
    </w:p>
    <w:p w14:paraId="131F5502" w14:textId="77777777" w:rsidR="009C6B27" w:rsidRDefault="451637E2" w:rsidP="451637E2">
      <w:pPr>
        <w:ind w:left="2413"/>
        <w:rPr>
          <w:b/>
          <w:bCs/>
        </w:rPr>
      </w:pPr>
      <w:bookmarkStart w:id="0" w:name="OLE_LINK124"/>
      <w:r w:rsidRPr="451637E2">
        <w:rPr>
          <w:b/>
          <w:bCs/>
          <w:u w:val="thick"/>
        </w:rPr>
        <w:t>GENERAL URA ACQUISITION PROCESS</w:t>
      </w:r>
    </w:p>
    <w:bookmarkEnd w:id="0"/>
    <w:p w14:paraId="0498E4A1" w14:textId="52F14D38" w:rsidR="009C6B27" w:rsidRDefault="00645E53" w:rsidP="5C74F51D">
      <w:pPr>
        <w:spacing w:before="58"/>
        <w:ind w:left="473"/>
        <w:rPr>
          <w:rFonts w:ascii="Times New Roman"/>
          <w:b/>
          <w:bCs/>
          <w:sz w:val="72"/>
          <w:szCs w:val="72"/>
        </w:rPr>
      </w:pPr>
      <w:r>
        <w:br w:type="column"/>
      </w:r>
      <w:r w:rsidRPr="5C74F51D">
        <w:rPr>
          <w:rFonts w:ascii="Times New Roman"/>
          <w:b/>
          <w:bCs/>
          <w:sz w:val="72"/>
          <w:szCs w:val="72"/>
        </w:rPr>
        <w:t>9-33</w:t>
      </w:r>
    </w:p>
    <w:p w14:paraId="02EB378F" w14:textId="77777777" w:rsidR="009C6B27" w:rsidRDefault="009C6B27">
      <w:pPr>
        <w:rPr>
          <w:rFonts w:ascii="Times New Roman"/>
          <w:sz w:val="72"/>
        </w:rPr>
        <w:sectPr w:rsidR="009C6B27">
          <w:footerReference w:type="default" r:id="rId9"/>
          <w:type w:val="continuous"/>
          <w:pgSz w:w="12240" w:h="15840"/>
          <w:pgMar w:top="660" w:right="1560" w:bottom="280" w:left="1580" w:header="720" w:footer="720" w:gutter="0"/>
          <w:cols w:num="2" w:space="720" w:equalWidth="0">
            <w:col w:w="6667" w:space="40"/>
            <w:col w:w="2393"/>
          </w:cols>
        </w:sectPr>
      </w:pPr>
    </w:p>
    <w:p w14:paraId="24F1F4D0" w14:textId="77777777" w:rsidR="009C6B27" w:rsidRDefault="00645E53">
      <w:pPr>
        <w:pStyle w:val="BodyText"/>
        <w:ind w:left="56" w:right="18"/>
        <w:jc w:val="center"/>
      </w:pPr>
      <w:r>
        <w:t>(Refer to 49 CFR 24 Subpart B for detailed acquisition requirements)</w:t>
      </w:r>
    </w:p>
    <w:p w14:paraId="6A05A809" w14:textId="77777777" w:rsidR="009C6B27" w:rsidRDefault="009C6B27">
      <w:pPr>
        <w:spacing w:after="1"/>
        <w:rPr>
          <w:i/>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8"/>
        <w:gridCol w:w="4428"/>
      </w:tblGrid>
      <w:tr w:rsidR="009C6B27" w14:paraId="6401450A" w14:textId="77777777" w:rsidTr="5C74F51D">
        <w:trPr>
          <w:trHeight w:val="500"/>
        </w:trPr>
        <w:tc>
          <w:tcPr>
            <w:tcW w:w="4428" w:type="dxa"/>
          </w:tcPr>
          <w:p w14:paraId="5E24B6EE" w14:textId="77777777" w:rsidR="009C6B27" w:rsidRDefault="00645E53">
            <w:pPr>
              <w:pStyle w:val="TableParagraph"/>
              <w:spacing w:before="3" w:line="254" w:lineRule="exact"/>
              <w:ind w:left="1014" w:right="679" w:hanging="319"/>
              <w:rPr>
                <w:b/>
              </w:rPr>
            </w:pPr>
            <w:r>
              <w:rPr>
                <w:b/>
              </w:rPr>
              <w:t>VOLUNTARY ACQUISITIONS 49 CFR 24.101(b)(1)-(5)</w:t>
            </w:r>
          </w:p>
        </w:tc>
        <w:tc>
          <w:tcPr>
            <w:tcW w:w="4428" w:type="dxa"/>
          </w:tcPr>
          <w:p w14:paraId="16D208D1" w14:textId="77777777" w:rsidR="009C6B27" w:rsidRDefault="00645E53">
            <w:pPr>
              <w:pStyle w:val="TableParagraph"/>
              <w:spacing w:before="3" w:line="254" w:lineRule="exact"/>
              <w:ind w:left="1044" w:right="569" w:hanging="459"/>
              <w:rPr>
                <w:b/>
              </w:rPr>
            </w:pPr>
            <w:r>
              <w:rPr>
                <w:b/>
              </w:rPr>
              <w:t>INVOLUNTARY ACQUISITIONS 49 CFR 24.101(a) &amp; (b)</w:t>
            </w:r>
          </w:p>
        </w:tc>
      </w:tr>
      <w:tr w:rsidR="009C6B27" w14:paraId="6709D9ED" w14:textId="77777777" w:rsidTr="5C74F51D">
        <w:trPr>
          <w:trHeight w:val="1757"/>
        </w:trPr>
        <w:tc>
          <w:tcPr>
            <w:tcW w:w="4428" w:type="dxa"/>
          </w:tcPr>
          <w:p w14:paraId="526EE2F0" w14:textId="2E6F136E" w:rsidR="009C6B27" w:rsidRDefault="3A172D4B" w:rsidP="5C74F51D">
            <w:pPr>
              <w:pStyle w:val="TableParagraph"/>
              <w:ind w:right="172"/>
              <w:rPr>
                <w:i/>
                <w:iCs/>
              </w:rPr>
            </w:pPr>
            <w:r w:rsidRPr="5C74F51D">
              <w:rPr>
                <w:i/>
                <w:iCs/>
              </w:rPr>
              <w:t>Determine if proposed acquisition satisfies criteria and requirements of 24.101(b) (1)- (3). If acquisition doesn’t meet criteria (e.g., is subject to threat or use of eminent domain), refer to involuntary acquisition process and comply with 49 CFR 24</w:t>
            </w:r>
          </w:p>
          <w:p w14:paraId="23747CB5" w14:textId="77777777" w:rsidR="009C6B27" w:rsidRDefault="00645E53">
            <w:pPr>
              <w:pStyle w:val="TableParagraph"/>
              <w:spacing w:before="4" w:line="234" w:lineRule="exact"/>
              <w:rPr>
                <w:i/>
              </w:rPr>
            </w:pPr>
            <w:r>
              <w:rPr>
                <w:i/>
              </w:rPr>
              <w:t>Subpart B requirements.</w:t>
            </w:r>
          </w:p>
        </w:tc>
        <w:tc>
          <w:tcPr>
            <w:tcW w:w="4428" w:type="dxa"/>
          </w:tcPr>
          <w:p w14:paraId="2D4F711C" w14:textId="2F591CAB" w:rsidR="009C6B27" w:rsidRDefault="3A172D4B" w:rsidP="5C74F51D">
            <w:pPr>
              <w:pStyle w:val="TableParagraph"/>
              <w:ind w:right="130"/>
              <w:rPr>
                <w:i/>
                <w:iCs/>
              </w:rPr>
            </w:pPr>
            <w:r w:rsidRPr="5C74F51D">
              <w:rPr>
                <w:i/>
                <w:iCs/>
              </w:rPr>
              <w:t>Determine if proposed acquisition is subject to threat or use of eminent domain. If not subject to eminent domain, refer to voluntary acquisition process and comply with applicable requirements of 49 CFR 24.101(b) (1)-(3).</w:t>
            </w:r>
          </w:p>
        </w:tc>
      </w:tr>
      <w:tr w:rsidR="009C6B27" w14:paraId="10290BF1" w14:textId="77777777" w:rsidTr="5C74F51D">
        <w:trPr>
          <w:trHeight w:val="1260"/>
        </w:trPr>
        <w:tc>
          <w:tcPr>
            <w:tcW w:w="4428" w:type="dxa"/>
          </w:tcPr>
          <w:p w14:paraId="07F4FB93" w14:textId="0D0A4F9B" w:rsidR="009C6B27" w:rsidRDefault="3A172D4B" w:rsidP="5C74F51D">
            <w:pPr>
              <w:pStyle w:val="TableParagraph"/>
              <w:ind w:right="186"/>
              <w:rPr>
                <w:i/>
                <w:iCs/>
              </w:rPr>
            </w:pPr>
            <w:r w:rsidRPr="5C74F51D">
              <w:rPr>
                <w:b/>
                <w:bCs/>
                <w:u w:val="thick"/>
              </w:rPr>
              <w:t>24.101(b)(1)</w:t>
            </w:r>
            <w:r w:rsidRPr="5C74F51D">
              <w:rPr>
                <w:b/>
                <w:bCs/>
              </w:rPr>
              <w:t xml:space="preserve"> - Agencies with eminent domain authority but will not use: must meet all conditions of 24.101(b)(1)(</w:t>
            </w:r>
            <w:proofErr w:type="spellStart"/>
            <w:r w:rsidRPr="5C74F51D">
              <w:rPr>
                <w:b/>
                <w:bCs/>
              </w:rPr>
              <w:t>i</w:t>
            </w:r>
            <w:proofErr w:type="spellEnd"/>
            <w:r w:rsidRPr="5C74F51D">
              <w:rPr>
                <w:b/>
                <w:bCs/>
              </w:rPr>
              <w:t>) – (iii)</w:t>
            </w:r>
            <w:r>
              <w:t xml:space="preserve">.  </w:t>
            </w:r>
            <w:r w:rsidRPr="5C74F51D">
              <w:rPr>
                <w:i/>
                <w:iCs/>
              </w:rPr>
              <w:t>(see esp. 24.101(b)(1)(</w:t>
            </w:r>
            <w:proofErr w:type="spellStart"/>
            <w:r w:rsidRPr="5C74F51D">
              <w:rPr>
                <w:i/>
                <w:iCs/>
              </w:rPr>
              <w:t>i</w:t>
            </w:r>
            <w:proofErr w:type="spellEnd"/>
            <w:r w:rsidRPr="5C74F51D">
              <w:rPr>
                <w:i/>
                <w:iCs/>
              </w:rPr>
              <w:t>) &amp; (ii))</w:t>
            </w:r>
          </w:p>
        </w:tc>
        <w:tc>
          <w:tcPr>
            <w:tcW w:w="4428" w:type="dxa"/>
          </w:tcPr>
          <w:p w14:paraId="54EAB191" w14:textId="77777777" w:rsidR="009C6B27" w:rsidRDefault="00645E53">
            <w:pPr>
              <w:pStyle w:val="TableParagraph"/>
              <w:ind w:right="342"/>
              <w:rPr>
                <w:i/>
              </w:rPr>
            </w:pPr>
            <w:r>
              <w:rPr>
                <w:b/>
              </w:rPr>
              <w:t xml:space="preserve">* </w:t>
            </w:r>
            <w:r>
              <w:t xml:space="preserve">Notify owner of agency’s interest in acquiring property and protections under the Uniform Act </w:t>
            </w:r>
            <w:r>
              <w:rPr>
                <w:i/>
              </w:rPr>
              <w:t>(see 24.102(b))</w:t>
            </w:r>
          </w:p>
          <w:p w14:paraId="28DA318E" w14:textId="5164666A" w:rsidR="009C6B27" w:rsidRDefault="00645E53" w:rsidP="5C74F51D">
            <w:pPr>
              <w:pStyle w:val="TableParagraph"/>
              <w:spacing w:before="9" w:line="252" w:lineRule="exact"/>
              <w:ind w:right="171"/>
              <w:rPr>
                <w:i/>
                <w:iCs/>
              </w:rPr>
            </w:pPr>
            <w:r w:rsidRPr="5C74F51D">
              <w:rPr>
                <w:i/>
                <w:iCs/>
              </w:rPr>
              <w:t>(Optional: issue Notice of Intent to Acquire (see 24.203(d)</w:t>
            </w:r>
            <w:r w:rsidR="0054314E" w:rsidRPr="5C74F51D">
              <w:rPr>
                <w:i/>
                <w:iCs/>
              </w:rPr>
              <w:t xml:space="preserve"> and 24.5(d)</w:t>
            </w:r>
            <w:r w:rsidRPr="5C74F51D">
              <w:rPr>
                <w:i/>
                <w:iCs/>
              </w:rPr>
              <w:t>)</w:t>
            </w:r>
          </w:p>
        </w:tc>
      </w:tr>
      <w:tr w:rsidR="009C6B27" w14:paraId="3AC2CE62" w14:textId="77777777" w:rsidTr="5C74F51D">
        <w:trPr>
          <w:trHeight w:val="737"/>
        </w:trPr>
        <w:tc>
          <w:tcPr>
            <w:tcW w:w="4428" w:type="dxa"/>
          </w:tcPr>
          <w:p w14:paraId="4583022E" w14:textId="77777777" w:rsidR="009C6B27" w:rsidRDefault="00645E53">
            <w:pPr>
              <w:pStyle w:val="TableParagraph"/>
              <w:spacing w:line="249" w:lineRule="exact"/>
            </w:pPr>
            <w:r>
              <w:rPr>
                <w:b/>
              </w:rPr>
              <w:t xml:space="preserve">* </w:t>
            </w:r>
            <w:r>
              <w:t>Agency will not acquire property if</w:t>
            </w:r>
          </w:p>
          <w:p w14:paraId="50BFC550" w14:textId="16D1D952" w:rsidR="009C6B27" w:rsidRDefault="3A172D4B" w:rsidP="5C74F51D">
            <w:pPr>
              <w:pStyle w:val="TableParagraph"/>
              <w:spacing w:before="5" w:line="252" w:lineRule="exact"/>
              <w:ind w:right="184"/>
              <w:rPr>
                <w:i/>
                <w:iCs/>
              </w:rPr>
            </w:pPr>
            <w:r>
              <w:t xml:space="preserve">negotiations fail, and owner is so informed in writing </w:t>
            </w:r>
            <w:r w:rsidRPr="5C74F51D">
              <w:rPr>
                <w:i/>
                <w:iCs/>
              </w:rPr>
              <w:t>(see 24.101(b)(1)</w:t>
            </w:r>
            <w:r w:rsidR="00B57CE1" w:rsidRPr="5C74F51D">
              <w:rPr>
                <w:i/>
                <w:iCs/>
              </w:rPr>
              <w:t>(</w:t>
            </w:r>
            <w:proofErr w:type="spellStart"/>
            <w:r w:rsidRPr="5C74F51D">
              <w:rPr>
                <w:i/>
                <w:iCs/>
              </w:rPr>
              <w:t>i</w:t>
            </w:r>
            <w:proofErr w:type="spellEnd"/>
            <w:r w:rsidR="00B57CE1" w:rsidRPr="5C74F51D">
              <w:rPr>
                <w:i/>
                <w:iCs/>
              </w:rPr>
              <w:t>)</w:t>
            </w:r>
            <w:r w:rsidRPr="5C74F51D">
              <w:rPr>
                <w:i/>
                <w:iCs/>
              </w:rPr>
              <w:t>(A))</w:t>
            </w:r>
          </w:p>
        </w:tc>
        <w:tc>
          <w:tcPr>
            <w:tcW w:w="4428" w:type="dxa"/>
          </w:tcPr>
          <w:p w14:paraId="44D064D5" w14:textId="77777777" w:rsidR="009C6B27" w:rsidRDefault="00645E53">
            <w:pPr>
              <w:pStyle w:val="TableParagraph"/>
              <w:ind w:right="501"/>
            </w:pPr>
            <w:r>
              <w:rPr>
                <w:b/>
              </w:rPr>
              <w:t xml:space="preserve">* </w:t>
            </w:r>
            <w:r>
              <w:t>Appraise property and invite owner to accompany appraiser</w:t>
            </w:r>
          </w:p>
          <w:p w14:paraId="6ECE6F94" w14:textId="3BE048DC" w:rsidR="009C6B27" w:rsidRDefault="3A172D4B" w:rsidP="5C74F51D">
            <w:pPr>
              <w:pStyle w:val="TableParagraph"/>
              <w:spacing w:before="4" w:line="234" w:lineRule="exact"/>
              <w:rPr>
                <w:i/>
                <w:iCs/>
              </w:rPr>
            </w:pPr>
            <w:r w:rsidRPr="5C74F51D">
              <w:rPr>
                <w:i/>
                <w:iCs/>
              </w:rPr>
              <w:t>(see 24.102(b))</w:t>
            </w:r>
          </w:p>
        </w:tc>
      </w:tr>
      <w:tr w:rsidR="009C6B27" w14:paraId="5518FB35" w14:textId="77777777" w:rsidTr="5C74F51D">
        <w:trPr>
          <w:trHeight w:val="739"/>
        </w:trPr>
        <w:tc>
          <w:tcPr>
            <w:tcW w:w="4428" w:type="dxa"/>
          </w:tcPr>
          <w:p w14:paraId="308039B7" w14:textId="5D492FAA" w:rsidR="009C6B27" w:rsidRDefault="3A172D4B" w:rsidP="5C74F51D">
            <w:pPr>
              <w:pStyle w:val="TableParagraph"/>
              <w:spacing w:line="254" w:lineRule="exact"/>
              <w:ind w:right="795"/>
              <w:rPr>
                <w:i/>
                <w:iCs/>
              </w:rPr>
            </w:pPr>
            <w:r w:rsidRPr="5C74F51D">
              <w:rPr>
                <w:b/>
                <w:bCs/>
              </w:rPr>
              <w:t xml:space="preserve">* </w:t>
            </w:r>
            <w:r>
              <w:t xml:space="preserve">Agency informs owner in writing of property’s estimated market value </w:t>
            </w:r>
            <w:r w:rsidRPr="5C74F51D">
              <w:rPr>
                <w:i/>
                <w:iCs/>
              </w:rPr>
              <w:t>(see 24.101(b)(</w:t>
            </w:r>
            <w:proofErr w:type="spellStart"/>
            <w:r w:rsidRPr="5C74F51D">
              <w:rPr>
                <w:i/>
                <w:iCs/>
              </w:rPr>
              <w:t>i</w:t>
            </w:r>
            <w:proofErr w:type="spellEnd"/>
            <w:r w:rsidR="00CB6151" w:rsidRPr="5C74F51D">
              <w:rPr>
                <w:i/>
                <w:iCs/>
              </w:rPr>
              <w:t>)</w:t>
            </w:r>
            <w:r w:rsidRPr="5C74F51D">
              <w:rPr>
                <w:i/>
                <w:iCs/>
              </w:rPr>
              <w:t>(B))</w:t>
            </w:r>
          </w:p>
        </w:tc>
        <w:tc>
          <w:tcPr>
            <w:tcW w:w="4428" w:type="dxa"/>
          </w:tcPr>
          <w:p w14:paraId="49335AB5" w14:textId="77777777" w:rsidR="009C6B27" w:rsidRDefault="00645E53">
            <w:pPr>
              <w:pStyle w:val="TableParagraph"/>
              <w:spacing w:line="250" w:lineRule="exact"/>
            </w:pPr>
            <w:r>
              <w:rPr>
                <w:b/>
              </w:rPr>
              <w:t xml:space="preserve">* </w:t>
            </w:r>
            <w:r>
              <w:t>Review the appraisal</w:t>
            </w:r>
          </w:p>
          <w:p w14:paraId="3797B44D" w14:textId="77777777" w:rsidR="009C6B27" w:rsidRDefault="00645E53">
            <w:pPr>
              <w:pStyle w:val="TableParagraph"/>
              <w:spacing w:before="1"/>
              <w:rPr>
                <w:i/>
              </w:rPr>
            </w:pPr>
            <w:r>
              <w:rPr>
                <w:i/>
              </w:rPr>
              <w:t>(see 24.104)</w:t>
            </w:r>
          </w:p>
        </w:tc>
      </w:tr>
      <w:tr w:rsidR="009C6B27" w14:paraId="7F37BB07" w14:textId="77777777" w:rsidTr="5C74F51D">
        <w:trPr>
          <w:trHeight w:val="737"/>
        </w:trPr>
        <w:tc>
          <w:tcPr>
            <w:tcW w:w="4428" w:type="dxa"/>
          </w:tcPr>
          <w:p w14:paraId="5898D94F" w14:textId="77777777" w:rsidR="009C6B27" w:rsidRDefault="00645E53">
            <w:pPr>
              <w:pStyle w:val="TableParagraph"/>
              <w:spacing w:line="248" w:lineRule="exact"/>
            </w:pPr>
            <w:r>
              <w:rPr>
                <w:b/>
              </w:rPr>
              <w:t xml:space="preserve">* </w:t>
            </w:r>
            <w:r>
              <w:t>Owner/s &amp; owner occupants not eligible</w:t>
            </w:r>
          </w:p>
          <w:p w14:paraId="02600D0A" w14:textId="2F88F441" w:rsidR="009C6B27" w:rsidRDefault="3A172D4B" w:rsidP="5C74F51D">
            <w:pPr>
              <w:pStyle w:val="TableParagraph"/>
              <w:spacing w:before="5" w:line="252" w:lineRule="exact"/>
              <w:ind w:right="209"/>
              <w:rPr>
                <w:i/>
                <w:iCs/>
              </w:rPr>
            </w:pPr>
            <w:r>
              <w:t xml:space="preserve">for relocation assistance / displaced tenants may be eligible </w:t>
            </w:r>
            <w:r w:rsidRPr="5C74F51D">
              <w:rPr>
                <w:i/>
                <w:iCs/>
              </w:rPr>
              <w:t>(see 24.101 (b)</w:t>
            </w:r>
            <w:r w:rsidR="00174C52" w:rsidRPr="5C74F51D">
              <w:rPr>
                <w:i/>
                <w:iCs/>
              </w:rPr>
              <w:t xml:space="preserve"> </w:t>
            </w:r>
            <w:r w:rsidR="00044761" w:rsidRPr="5C74F51D">
              <w:rPr>
                <w:i/>
                <w:iCs/>
              </w:rPr>
              <w:t>and 24.2</w:t>
            </w:r>
            <w:r w:rsidR="00B4418D" w:rsidRPr="5C74F51D">
              <w:rPr>
                <w:i/>
                <w:iCs/>
              </w:rPr>
              <w:t>, definition of displaced person</w:t>
            </w:r>
            <w:r w:rsidRPr="5C74F51D">
              <w:rPr>
                <w:i/>
                <w:iCs/>
              </w:rPr>
              <w:t>)</w:t>
            </w:r>
          </w:p>
        </w:tc>
        <w:tc>
          <w:tcPr>
            <w:tcW w:w="4428" w:type="dxa"/>
          </w:tcPr>
          <w:p w14:paraId="55A416BE" w14:textId="77777777" w:rsidR="009C6B27" w:rsidRDefault="00645E53">
            <w:pPr>
              <w:pStyle w:val="TableParagraph"/>
              <w:ind w:right="282"/>
            </w:pPr>
            <w:r>
              <w:rPr>
                <w:b/>
              </w:rPr>
              <w:t xml:space="preserve">* </w:t>
            </w:r>
            <w:r>
              <w:t>Establish estimate of just compensation for property</w:t>
            </w:r>
          </w:p>
          <w:p w14:paraId="7BABBF09" w14:textId="77777777" w:rsidR="009C6B27" w:rsidRDefault="00645E53">
            <w:pPr>
              <w:pStyle w:val="TableParagraph"/>
              <w:spacing w:before="5" w:line="234" w:lineRule="exact"/>
              <w:rPr>
                <w:i/>
              </w:rPr>
            </w:pPr>
            <w:r>
              <w:rPr>
                <w:i/>
              </w:rPr>
              <w:t>(see 24.102(d))</w:t>
            </w:r>
          </w:p>
        </w:tc>
      </w:tr>
      <w:tr w:rsidR="009C6B27" w14:paraId="208362D2" w14:textId="77777777" w:rsidTr="5C74F51D">
        <w:trPr>
          <w:trHeight w:val="739"/>
        </w:trPr>
        <w:tc>
          <w:tcPr>
            <w:tcW w:w="4428" w:type="dxa"/>
          </w:tcPr>
          <w:p w14:paraId="7CBAE87C" w14:textId="7A5715DA" w:rsidR="009C6B27" w:rsidRDefault="3A172D4B" w:rsidP="3A172D4B">
            <w:pPr>
              <w:pStyle w:val="TableParagraph"/>
              <w:ind w:right="649"/>
              <w:rPr>
                <w:b/>
                <w:bCs/>
              </w:rPr>
            </w:pPr>
            <w:r w:rsidRPr="5C74F51D">
              <w:rPr>
                <w:b/>
                <w:bCs/>
                <w:u w:val="thick"/>
              </w:rPr>
              <w:t>24.101(b)(1)</w:t>
            </w:r>
            <w:r w:rsidRPr="5C74F51D">
              <w:rPr>
                <w:b/>
                <w:bCs/>
              </w:rPr>
              <w:t xml:space="preserve"> </w:t>
            </w:r>
            <w:r>
              <w:t xml:space="preserve">– </w:t>
            </w:r>
            <w:r w:rsidRPr="5C74F51D">
              <w:rPr>
                <w:b/>
                <w:bCs/>
              </w:rPr>
              <w:t>Agencies or persons without eminent domain authority:</w:t>
            </w:r>
          </w:p>
        </w:tc>
        <w:tc>
          <w:tcPr>
            <w:tcW w:w="4428" w:type="dxa"/>
          </w:tcPr>
          <w:p w14:paraId="44216CAF" w14:textId="77777777" w:rsidR="009C6B27" w:rsidRDefault="00645E53">
            <w:pPr>
              <w:pStyle w:val="TableParagraph"/>
              <w:ind w:right="649"/>
            </w:pPr>
            <w:r>
              <w:rPr>
                <w:b/>
              </w:rPr>
              <w:t xml:space="preserve">* </w:t>
            </w:r>
            <w:r>
              <w:t>Provide owner with written offer and summary statement for property</w:t>
            </w:r>
          </w:p>
          <w:p w14:paraId="10DA2BE5" w14:textId="77777777" w:rsidR="009C6B27" w:rsidRDefault="00645E53">
            <w:pPr>
              <w:pStyle w:val="TableParagraph"/>
              <w:spacing w:before="4" w:line="234" w:lineRule="exact"/>
              <w:rPr>
                <w:i/>
              </w:rPr>
            </w:pPr>
            <w:r>
              <w:rPr>
                <w:i/>
              </w:rPr>
              <w:t>(see 24.102(e))</w:t>
            </w:r>
          </w:p>
        </w:tc>
      </w:tr>
      <w:tr w:rsidR="009C6B27" w14:paraId="16F7700B" w14:textId="77777777" w:rsidTr="5C74F51D">
        <w:trPr>
          <w:trHeight w:val="740"/>
        </w:trPr>
        <w:tc>
          <w:tcPr>
            <w:tcW w:w="4428" w:type="dxa"/>
          </w:tcPr>
          <w:p w14:paraId="3E337BC3" w14:textId="77777777" w:rsidR="009C6B27" w:rsidRDefault="00645E53">
            <w:pPr>
              <w:pStyle w:val="TableParagraph"/>
              <w:ind w:right="575"/>
            </w:pPr>
            <w:r>
              <w:rPr>
                <w:b/>
              </w:rPr>
              <w:t xml:space="preserve">* </w:t>
            </w:r>
            <w:r>
              <w:t>Prior to offer, inform owner unable to acquire if negotiations fail</w:t>
            </w:r>
          </w:p>
          <w:p w14:paraId="7151640C" w14:textId="7DA1CA14" w:rsidR="009C6B27" w:rsidRDefault="00645E53" w:rsidP="5C74F51D">
            <w:pPr>
              <w:pStyle w:val="TableParagraph"/>
              <w:spacing w:before="3" w:line="234" w:lineRule="exact"/>
              <w:rPr>
                <w:i/>
                <w:iCs/>
              </w:rPr>
            </w:pPr>
            <w:r w:rsidRPr="5C74F51D">
              <w:rPr>
                <w:i/>
                <w:iCs/>
              </w:rPr>
              <w:t>(see 24.101(b)(</w:t>
            </w:r>
            <w:r w:rsidR="00933C5A" w:rsidRPr="5C74F51D">
              <w:rPr>
                <w:i/>
                <w:iCs/>
              </w:rPr>
              <w:t>1</w:t>
            </w:r>
            <w:r w:rsidRPr="5C74F51D">
              <w:rPr>
                <w:i/>
                <w:iCs/>
              </w:rPr>
              <w:t>)</w:t>
            </w:r>
            <w:r w:rsidR="005F7B46" w:rsidRPr="5C74F51D">
              <w:rPr>
                <w:i/>
                <w:iCs/>
              </w:rPr>
              <w:t>(</w:t>
            </w:r>
            <w:proofErr w:type="spellStart"/>
            <w:r w:rsidR="005F7B46" w:rsidRPr="5C74F51D">
              <w:rPr>
                <w:i/>
                <w:iCs/>
              </w:rPr>
              <w:t>i</w:t>
            </w:r>
            <w:proofErr w:type="spellEnd"/>
            <w:r w:rsidR="005F7B46" w:rsidRPr="5C74F51D">
              <w:rPr>
                <w:i/>
                <w:iCs/>
              </w:rPr>
              <w:t>)</w:t>
            </w:r>
            <w:r w:rsidR="00C46C10" w:rsidRPr="5C74F51D">
              <w:rPr>
                <w:i/>
                <w:iCs/>
              </w:rPr>
              <w:t>(A</w:t>
            </w:r>
            <w:r w:rsidRPr="5C74F51D">
              <w:rPr>
                <w:i/>
                <w:iCs/>
              </w:rPr>
              <w:t>))</w:t>
            </w:r>
          </w:p>
        </w:tc>
        <w:tc>
          <w:tcPr>
            <w:tcW w:w="4428" w:type="dxa"/>
          </w:tcPr>
          <w:p w14:paraId="7DB06C2A" w14:textId="77777777" w:rsidR="009C6B27" w:rsidRDefault="00645E53">
            <w:pPr>
              <w:pStyle w:val="TableParagraph"/>
              <w:ind w:right="563"/>
            </w:pPr>
            <w:r>
              <w:rPr>
                <w:b/>
              </w:rPr>
              <w:t xml:space="preserve">* </w:t>
            </w:r>
            <w:r>
              <w:t>Negotiate with owner for purchase of property</w:t>
            </w:r>
          </w:p>
          <w:p w14:paraId="08766836" w14:textId="77777777" w:rsidR="009C6B27" w:rsidRDefault="00645E53">
            <w:pPr>
              <w:pStyle w:val="TableParagraph"/>
              <w:spacing w:before="3" w:line="234" w:lineRule="exact"/>
              <w:rPr>
                <w:i/>
              </w:rPr>
            </w:pPr>
            <w:r>
              <w:rPr>
                <w:i/>
              </w:rPr>
              <w:t>(see 24.102(f))</w:t>
            </w:r>
          </w:p>
        </w:tc>
      </w:tr>
      <w:tr w:rsidR="009C6B27" w14:paraId="04C5DB90" w14:textId="77777777" w:rsidTr="5C74F51D">
        <w:trPr>
          <w:trHeight w:val="740"/>
        </w:trPr>
        <w:tc>
          <w:tcPr>
            <w:tcW w:w="4428" w:type="dxa"/>
          </w:tcPr>
          <w:p w14:paraId="7990D79D" w14:textId="77777777" w:rsidR="009C6B27" w:rsidRDefault="00645E53">
            <w:pPr>
              <w:pStyle w:val="TableParagraph"/>
              <w:ind w:right="575"/>
            </w:pPr>
            <w:r>
              <w:rPr>
                <w:b/>
              </w:rPr>
              <w:t xml:space="preserve">* </w:t>
            </w:r>
            <w:r>
              <w:t>Inform owner of property’s estimated market value</w:t>
            </w:r>
          </w:p>
          <w:p w14:paraId="2960C310" w14:textId="55B216DB" w:rsidR="009C6B27" w:rsidRDefault="3A172D4B" w:rsidP="5C74F51D">
            <w:pPr>
              <w:pStyle w:val="TableParagraph"/>
              <w:spacing w:before="3" w:line="234" w:lineRule="exact"/>
              <w:rPr>
                <w:i/>
                <w:iCs/>
              </w:rPr>
            </w:pPr>
            <w:r w:rsidRPr="5C74F51D">
              <w:rPr>
                <w:i/>
                <w:iCs/>
              </w:rPr>
              <w:t>(see 24.101(b)(1)((</w:t>
            </w:r>
            <w:proofErr w:type="spellStart"/>
            <w:r w:rsidRPr="5C74F51D">
              <w:rPr>
                <w:i/>
                <w:iCs/>
              </w:rPr>
              <w:t>i</w:t>
            </w:r>
            <w:proofErr w:type="spellEnd"/>
            <w:r w:rsidRPr="5C74F51D">
              <w:rPr>
                <w:i/>
                <w:iCs/>
              </w:rPr>
              <w:t>)(</w:t>
            </w:r>
            <w:r w:rsidR="00635306" w:rsidRPr="5C74F51D">
              <w:rPr>
                <w:i/>
                <w:iCs/>
              </w:rPr>
              <w:t>B</w:t>
            </w:r>
            <w:r w:rsidRPr="5C74F51D">
              <w:rPr>
                <w:i/>
                <w:iCs/>
              </w:rPr>
              <w:t>))</w:t>
            </w:r>
          </w:p>
        </w:tc>
        <w:tc>
          <w:tcPr>
            <w:tcW w:w="4428" w:type="dxa"/>
          </w:tcPr>
          <w:p w14:paraId="46F1DFD6" w14:textId="77777777" w:rsidR="009C6B27" w:rsidRDefault="00645E53">
            <w:pPr>
              <w:pStyle w:val="TableParagraph"/>
              <w:ind w:right="208"/>
            </w:pPr>
            <w:r>
              <w:rPr>
                <w:b/>
              </w:rPr>
              <w:t xml:space="preserve">* </w:t>
            </w:r>
            <w:r>
              <w:t>If negotiations successful, complete sale and reimburse property owner for related</w:t>
            </w:r>
          </w:p>
          <w:p w14:paraId="0FFCE569" w14:textId="77777777" w:rsidR="009C6B27" w:rsidRDefault="00645E53">
            <w:pPr>
              <w:pStyle w:val="TableParagraph"/>
              <w:spacing w:before="1" w:line="235" w:lineRule="exact"/>
              <w:rPr>
                <w:i/>
              </w:rPr>
            </w:pPr>
            <w:r>
              <w:t xml:space="preserve">incidental expenses  </w:t>
            </w:r>
            <w:r>
              <w:rPr>
                <w:i/>
              </w:rPr>
              <w:t>(see 24.106)</w:t>
            </w:r>
          </w:p>
        </w:tc>
      </w:tr>
      <w:tr w:rsidR="009C6B27" w14:paraId="1A6C5DA2" w14:textId="77777777" w:rsidTr="5C74F51D">
        <w:trPr>
          <w:trHeight w:val="740"/>
        </w:trPr>
        <w:tc>
          <w:tcPr>
            <w:tcW w:w="4428" w:type="dxa"/>
          </w:tcPr>
          <w:p w14:paraId="2CD461FE" w14:textId="1D4DCCAE" w:rsidR="009C6B27" w:rsidRDefault="3A172D4B" w:rsidP="5C74F51D">
            <w:pPr>
              <w:pStyle w:val="TableParagraph"/>
              <w:spacing w:line="254" w:lineRule="exact"/>
              <w:ind w:right="209"/>
              <w:rPr>
                <w:i/>
                <w:iCs/>
              </w:rPr>
            </w:pPr>
            <w:r w:rsidRPr="5C74F51D">
              <w:rPr>
                <w:b/>
                <w:bCs/>
              </w:rPr>
              <w:t xml:space="preserve">* </w:t>
            </w:r>
            <w:r>
              <w:t xml:space="preserve">Owner/s &amp; owner occupants not eligible for relocation assistance / displaced tenants may be </w:t>
            </w:r>
            <w:proofErr w:type="gramStart"/>
            <w:r>
              <w:t xml:space="preserve">eligible </w:t>
            </w:r>
            <w:r w:rsidRPr="5C74F51D">
              <w:rPr>
                <w:i/>
                <w:iCs/>
              </w:rPr>
              <w:t>)</w:t>
            </w:r>
            <w:proofErr w:type="gramEnd"/>
            <w:r w:rsidRPr="5C74F51D">
              <w:rPr>
                <w:i/>
                <w:iCs/>
              </w:rPr>
              <w:t xml:space="preserve"> </w:t>
            </w:r>
            <w:r w:rsidR="00174C52" w:rsidRPr="5C74F51D">
              <w:rPr>
                <w:i/>
                <w:iCs/>
              </w:rPr>
              <w:t xml:space="preserve">(see </w:t>
            </w:r>
            <w:r w:rsidRPr="5C74F51D">
              <w:rPr>
                <w:i/>
                <w:iCs/>
              </w:rPr>
              <w:t>24.101(b)</w:t>
            </w:r>
            <w:r w:rsidR="00A97348" w:rsidRPr="5C74F51D">
              <w:rPr>
                <w:i/>
                <w:iCs/>
              </w:rPr>
              <w:t xml:space="preserve"> </w:t>
            </w:r>
            <w:r w:rsidR="00174C52" w:rsidRPr="5C74F51D">
              <w:rPr>
                <w:i/>
                <w:iCs/>
              </w:rPr>
              <w:t>and</w:t>
            </w:r>
            <w:r w:rsidR="00A97348" w:rsidRPr="5C74F51D">
              <w:rPr>
                <w:i/>
                <w:iCs/>
              </w:rPr>
              <w:t xml:space="preserve"> 24.2, definition of displaced person)</w:t>
            </w:r>
            <w:r w:rsidR="00174C52" w:rsidRPr="5C74F51D">
              <w:rPr>
                <w:i/>
                <w:iCs/>
              </w:rPr>
              <w:t xml:space="preserve"> </w:t>
            </w:r>
          </w:p>
        </w:tc>
        <w:tc>
          <w:tcPr>
            <w:tcW w:w="4428" w:type="dxa"/>
          </w:tcPr>
          <w:p w14:paraId="11F489FC" w14:textId="77777777" w:rsidR="009C6B27" w:rsidRDefault="00645E53">
            <w:pPr>
              <w:pStyle w:val="TableParagraph"/>
              <w:ind w:right="183"/>
            </w:pPr>
            <w:r>
              <w:rPr>
                <w:b/>
              </w:rPr>
              <w:t xml:space="preserve">* </w:t>
            </w:r>
            <w:r>
              <w:t>If negotiations unsuccessful, consider an administrative settlement</w:t>
            </w:r>
          </w:p>
          <w:p w14:paraId="00C8AC0A" w14:textId="77777777" w:rsidR="009C6B27" w:rsidRDefault="00645E53">
            <w:pPr>
              <w:pStyle w:val="TableParagraph"/>
              <w:spacing w:before="4" w:line="234" w:lineRule="exact"/>
              <w:rPr>
                <w:i/>
              </w:rPr>
            </w:pPr>
            <w:r>
              <w:rPr>
                <w:i/>
              </w:rPr>
              <w:t>(see 24.102(</w:t>
            </w:r>
            <w:proofErr w:type="spellStart"/>
            <w:r>
              <w:rPr>
                <w:i/>
              </w:rPr>
              <w:t>i</w:t>
            </w:r>
            <w:proofErr w:type="spellEnd"/>
            <w:r>
              <w:rPr>
                <w:i/>
              </w:rPr>
              <w:t>))</w:t>
            </w:r>
          </w:p>
        </w:tc>
      </w:tr>
      <w:tr w:rsidR="009C6B27" w14:paraId="5A5AF656" w14:textId="77777777" w:rsidTr="5C74F51D">
        <w:trPr>
          <w:trHeight w:val="998"/>
        </w:trPr>
        <w:tc>
          <w:tcPr>
            <w:tcW w:w="4428" w:type="dxa"/>
          </w:tcPr>
          <w:p w14:paraId="7E82E047" w14:textId="77777777" w:rsidR="009C6B27" w:rsidRDefault="00645E53">
            <w:pPr>
              <w:pStyle w:val="TableParagraph"/>
              <w:spacing w:line="254" w:lineRule="exact"/>
              <w:ind w:right="209"/>
              <w:rPr>
                <w:b/>
              </w:rPr>
            </w:pPr>
            <w:r>
              <w:rPr>
                <w:b/>
                <w:u w:val="thick"/>
              </w:rPr>
              <w:t>24.101(b)(3)</w:t>
            </w:r>
            <w:r>
              <w:rPr>
                <w:b/>
              </w:rPr>
              <w:t xml:space="preserve"> – Acquisition from a Federal agency, State, or State agency, if acquiring agency without eminent domain authority:</w:t>
            </w:r>
          </w:p>
        </w:tc>
        <w:tc>
          <w:tcPr>
            <w:tcW w:w="4428" w:type="dxa"/>
          </w:tcPr>
          <w:p w14:paraId="5A655BDA" w14:textId="77777777" w:rsidR="009C6B27" w:rsidRDefault="00645E53">
            <w:pPr>
              <w:pStyle w:val="TableParagraph"/>
              <w:ind w:right="118"/>
            </w:pPr>
            <w:r>
              <w:rPr>
                <w:b/>
              </w:rPr>
              <w:t xml:space="preserve">* </w:t>
            </w:r>
            <w:r>
              <w:t>If negotiations still unsuccessful, consider acquiring property through eminent domain.</w:t>
            </w:r>
          </w:p>
        </w:tc>
      </w:tr>
      <w:tr w:rsidR="009C6B27" w14:paraId="7F21BC46" w14:textId="77777777" w:rsidTr="5C74F51D">
        <w:trPr>
          <w:trHeight w:val="738"/>
        </w:trPr>
        <w:tc>
          <w:tcPr>
            <w:tcW w:w="4428" w:type="dxa"/>
          </w:tcPr>
          <w:p w14:paraId="1A04B42E" w14:textId="77777777" w:rsidR="009C6B27" w:rsidRDefault="00645E53">
            <w:pPr>
              <w:pStyle w:val="TableParagraph"/>
              <w:ind w:right="172"/>
            </w:pPr>
            <w:r>
              <w:rPr>
                <w:b/>
              </w:rPr>
              <w:t xml:space="preserve">* </w:t>
            </w:r>
            <w:r>
              <w:t>Owner/s &amp; owner occupants not eligible for relocation assistance / displaced</w:t>
            </w:r>
          </w:p>
          <w:p w14:paraId="5EA2C68F" w14:textId="17B9411D" w:rsidR="009C6B27" w:rsidRDefault="3A172D4B" w:rsidP="5C74F51D">
            <w:pPr>
              <w:pStyle w:val="TableParagraph"/>
              <w:spacing w:before="5" w:line="235" w:lineRule="exact"/>
              <w:rPr>
                <w:i/>
                <w:iCs/>
              </w:rPr>
            </w:pPr>
            <w:r>
              <w:t xml:space="preserve">tenants may be eligible </w:t>
            </w:r>
            <w:r w:rsidRPr="5C74F51D">
              <w:rPr>
                <w:i/>
                <w:iCs/>
              </w:rPr>
              <w:t xml:space="preserve"> </w:t>
            </w:r>
            <w:r w:rsidR="00D97116" w:rsidRPr="5C74F51D">
              <w:rPr>
                <w:i/>
                <w:iCs/>
              </w:rPr>
              <w:t xml:space="preserve">(see </w:t>
            </w:r>
            <w:r w:rsidRPr="5C74F51D">
              <w:rPr>
                <w:i/>
                <w:iCs/>
              </w:rPr>
              <w:t>24.101(b)</w:t>
            </w:r>
            <w:r w:rsidR="00D97116" w:rsidRPr="5C74F51D">
              <w:rPr>
                <w:i/>
                <w:iCs/>
              </w:rPr>
              <w:t xml:space="preserve"> and 24.2, definition of displaced person) </w:t>
            </w:r>
          </w:p>
        </w:tc>
        <w:tc>
          <w:tcPr>
            <w:tcW w:w="4428" w:type="dxa"/>
          </w:tcPr>
          <w:p w14:paraId="4E0A2432" w14:textId="77777777" w:rsidR="009C6B27" w:rsidRDefault="00645E53">
            <w:pPr>
              <w:pStyle w:val="TableParagraph"/>
              <w:ind w:right="257"/>
            </w:pPr>
            <w:r>
              <w:rPr>
                <w:b/>
              </w:rPr>
              <w:t xml:space="preserve">* </w:t>
            </w:r>
            <w:r>
              <w:t>Displaced persons eligible for relocation assistance</w:t>
            </w:r>
          </w:p>
          <w:p w14:paraId="54F2B907" w14:textId="77777777" w:rsidR="009C6B27" w:rsidRDefault="00645E53">
            <w:pPr>
              <w:pStyle w:val="TableParagraph"/>
              <w:spacing w:before="6" w:line="234" w:lineRule="exact"/>
              <w:rPr>
                <w:i/>
              </w:rPr>
            </w:pPr>
            <w:r>
              <w:rPr>
                <w:i/>
              </w:rPr>
              <w:t>(see 24.2(a)(9)(</w:t>
            </w:r>
            <w:proofErr w:type="spellStart"/>
            <w:r>
              <w:rPr>
                <w:i/>
              </w:rPr>
              <w:t>i</w:t>
            </w:r>
            <w:proofErr w:type="spellEnd"/>
            <w:r>
              <w:rPr>
                <w:i/>
              </w:rPr>
              <w:t>))</w:t>
            </w:r>
          </w:p>
        </w:tc>
      </w:tr>
    </w:tbl>
    <w:p w14:paraId="60061E4C" w14:textId="381CD8CA" w:rsidR="009C6B27" w:rsidRDefault="009C6B27" w:rsidP="5C74F51D">
      <w:pPr>
        <w:rPr>
          <w:i/>
          <w:iCs/>
          <w:sz w:val="24"/>
          <w:szCs w:val="24"/>
        </w:rPr>
      </w:pPr>
    </w:p>
    <w:p w14:paraId="419FD800" w14:textId="5DACA960" w:rsidR="009C6B27" w:rsidRPr="00687100" w:rsidRDefault="009C6B27">
      <w:pPr>
        <w:tabs>
          <w:tab w:val="left" w:pos="7706"/>
        </w:tabs>
        <w:ind w:right="18"/>
        <w:jc w:val="center"/>
        <w:rPr>
          <w:rFonts w:ascii="Times New Roman"/>
          <w:sz w:val="18"/>
          <w:szCs w:val="18"/>
        </w:rPr>
      </w:pPr>
    </w:p>
    <w:sectPr w:rsidR="009C6B27" w:rsidRPr="00687100">
      <w:type w:val="continuous"/>
      <w:pgSz w:w="12240" w:h="15840"/>
      <w:pgMar w:top="66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7BAF" w14:textId="77777777" w:rsidR="00E61A4F" w:rsidRDefault="00E61A4F" w:rsidP="00687100">
      <w:r>
        <w:separator/>
      </w:r>
    </w:p>
  </w:endnote>
  <w:endnote w:type="continuationSeparator" w:id="0">
    <w:p w14:paraId="434998EA" w14:textId="77777777" w:rsidR="00E61A4F" w:rsidRDefault="00E61A4F" w:rsidP="0068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43C" w14:textId="77777777" w:rsidR="00687100" w:rsidRPr="00F8772B" w:rsidRDefault="00687100" w:rsidP="00312B82">
    <w:pPr>
      <w:tabs>
        <w:tab w:val="left" w:pos="8280"/>
      </w:tabs>
      <w:ind w:right="18"/>
      <w:rPr>
        <w:rFonts w:ascii="Times New Roman"/>
        <w:sz w:val="18"/>
        <w:szCs w:val="18"/>
      </w:rPr>
    </w:pPr>
    <w:r w:rsidRPr="00645E53">
      <w:rPr>
        <w:rFonts w:ascii="Times New Roman"/>
        <w:sz w:val="18"/>
        <w:szCs w:val="18"/>
      </w:rPr>
      <w:t>May 2025</w:t>
    </w:r>
    <w:r w:rsidRPr="00F8772B">
      <w:rPr>
        <w:rFonts w:ascii="Times New Roman"/>
        <w:sz w:val="18"/>
        <w:szCs w:val="18"/>
      </w:rPr>
      <w:tab/>
    </w:r>
    <w:r w:rsidRPr="00645E53">
      <w:rPr>
        <w:rFonts w:ascii="Times New Roman"/>
        <w:sz w:val="18"/>
        <w:szCs w:val="18"/>
      </w:rPr>
      <w:t>Version</w:t>
    </w:r>
    <w:r w:rsidRPr="00645E53">
      <w:rPr>
        <w:rFonts w:ascii="Times New Roman"/>
        <w:spacing w:val="-6"/>
        <w:sz w:val="18"/>
        <w:szCs w:val="18"/>
      </w:rPr>
      <w:t xml:space="preserve"> </w:t>
    </w:r>
    <w:r w:rsidRPr="00645E53">
      <w:rPr>
        <w:rFonts w:ascii="Times New Roman"/>
        <w:sz w:val="18"/>
        <w:szCs w:val="18"/>
      </w:rPr>
      <w:t>5</w:t>
    </w:r>
  </w:p>
  <w:p w14:paraId="4BB9B217" w14:textId="77777777" w:rsidR="00687100" w:rsidRDefault="0068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1079" w14:textId="77777777" w:rsidR="00E61A4F" w:rsidRDefault="00E61A4F" w:rsidP="00687100">
      <w:r>
        <w:separator/>
      </w:r>
    </w:p>
  </w:footnote>
  <w:footnote w:type="continuationSeparator" w:id="0">
    <w:p w14:paraId="07587D19" w14:textId="77777777" w:rsidR="00E61A4F" w:rsidRDefault="00E61A4F" w:rsidP="00687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1637E2"/>
    <w:rsid w:val="00044761"/>
    <w:rsid w:val="0014223F"/>
    <w:rsid w:val="001739E2"/>
    <w:rsid w:val="00174C52"/>
    <w:rsid w:val="001F741D"/>
    <w:rsid w:val="00233898"/>
    <w:rsid w:val="00312B82"/>
    <w:rsid w:val="00362BAE"/>
    <w:rsid w:val="003B038C"/>
    <w:rsid w:val="003B064F"/>
    <w:rsid w:val="0054314E"/>
    <w:rsid w:val="005B00B3"/>
    <w:rsid w:val="005F7B46"/>
    <w:rsid w:val="00635306"/>
    <w:rsid w:val="00645E53"/>
    <w:rsid w:val="006862F4"/>
    <w:rsid w:val="00687100"/>
    <w:rsid w:val="008C3D48"/>
    <w:rsid w:val="008D7857"/>
    <w:rsid w:val="00933C5A"/>
    <w:rsid w:val="009C6B27"/>
    <w:rsid w:val="00A97348"/>
    <w:rsid w:val="00B04A0D"/>
    <w:rsid w:val="00B4418D"/>
    <w:rsid w:val="00B57CE1"/>
    <w:rsid w:val="00BF6AAA"/>
    <w:rsid w:val="00C46C10"/>
    <w:rsid w:val="00CB6151"/>
    <w:rsid w:val="00D97116"/>
    <w:rsid w:val="00DE318B"/>
    <w:rsid w:val="00E61A4F"/>
    <w:rsid w:val="0C62723B"/>
    <w:rsid w:val="2D65B4C7"/>
    <w:rsid w:val="3A172D4B"/>
    <w:rsid w:val="3B6D9FB7"/>
    <w:rsid w:val="3EF5C676"/>
    <w:rsid w:val="423409C0"/>
    <w:rsid w:val="451637E2"/>
    <w:rsid w:val="59342787"/>
    <w:rsid w:val="5C74F51D"/>
    <w:rsid w:val="750797C4"/>
    <w:rsid w:val="774AE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C3A77"/>
  <w15:docId w15:val="{265FCABA-B2C6-4D07-AF47-E400BAC0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3898"/>
    <w:pPr>
      <w:widowControl/>
      <w:autoSpaceDE/>
      <w:autoSpaceDN/>
    </w:pPr>
    <w:rPr>
      <w:rFonts w:ascii="Arial" w:eastAsia="Arial" w:hAnsi="Arial" w:cs="Arial"/>
    </w:rPr>
  </w:style>
  <w:style w:type="paragraph" w:styleId="Header">
    <w:name w:val="header"/>
    <w:basedOn w:val="Normal"/>
    <w:link w:val="HeaderChar"/>
    <w:uiPriority w:val="99"/>
    <w:unhideWhenUsed/>
    <w:rsid w:val="00687100"/>
    <w:pPr>
      <w:tabs>
        <w:tab w:val="center" w:pos="4680"/>
        <w:tab w:val="right" w:pos="9360"/>
      </w:tabs>
    </w:pPr>
  </w:style>
  <w:style w:type="character" w:customStyle="1" w:styleId="HeaderChar">
    <w:name w:val="Header Char"/>
    <w:basedOn w:val="DefaultParagraphFont"/>
    <w:link w:val="Header"/>
    <w:uiPriority w:val="99"/>
    <w:rsid w:val="00687100"/>
    <w:rPr>
      <w:rFonts w:ascii="Arial" w:eastAsia="Arial" w:hAnsi="Arial" w:cs="Arial"/>
    </w:rPr>
  </w:style>
  <w:style w:type="paragraph" w:styleId="Footer">
    <w:name w:val="footer"/>
    <w:basedOn w:val="Normal"/>
    <w:link w:val="FooterChar"/>
    <w:uiPriority w:val="99"/>
    <w:unhideWhenUsed/>
    <w:rsid w:val="00687100"/>
    <w:pPr>
      <w:tabs>
        <w:tab w:val="center" w:pos="4680"/>
        <w:tab w:val="right" w:pos="9360"/>
      </w:tabs>
    </w:pPr>
  </w:style>
  <w:style w:type="character" w:customStyle="1" w:styleId="FooterChar">
    <w:name w:val="Footer Char"/>
    <w:basedOn w:val="DefaultParagraphFont"/>
    <w:link w:val="Footer"/>
    <w:uiPriority w:val="99"/>
    <w:rsid w:val="006871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AWS654NDWC4M-233607049-61406</_dlc_DocId>
    <_dlc_DocIdUrl xmlns="175e5819-97ec-4bc2-81dc-ed3b6d97d97a">
      <Url>https://intranet.la.gov/doa/ocd/compliance/_layouts/15/DocIdRedir.aspx?ID=AWS654NDWC4M-233607049-61406</Url>
      <Description>AWS654NDWC4M-233607049-61406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C8DBD74-DF46-4AB0-A94C-74577594E417}"/>
</file>

<file path=customXml/itemProps2.xml><?xml version="1.0" encoding="utf-8"?>
<ds:datastoreItem xmlns:ds="http://schemas.openxmlformats.org/officeDocument/2006/customXml" ds:itemID="{8D0B4596-7748-450A-9482-2352B885B3BC}">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3.xml><?xml version="1.0" encoding="utf-8"?>
<ds:datastoreItem xmlns:ds="http://schemas.openxmlformats.org/officeDocument/2006/customXml" ds:itemID="{59932240-6C6E-490B-9A2D-EC0CA201A9DD}"/>
</file>

<file path=customXml/itemProps4.xml><?xml version="1.0" encoding="utf-8"?>
<ds:datastoreItem xmlns:ds="http://schemas.openxmlformats.org/officeDocument/2006/customXml" ds:itemID="{E2A59EEF-E6BF-42FD-8F08-A0D4997AB783}"/>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2427</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Microsoft Word - DR CDBG Admin Manual_Ex 10-33 General URA Acquisition Process Checklist.docx</vt:lpstr>
    </vt:vector>
  </TitlesOfParts>
  <Manager/>
  <Company/>
  <LinksUpToDate>false</LinksUpToDate>
  <CharactersWithSpaces>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URA ACQUISITION PROCESS</dc:title>
  <dc:subject>Exhibit 9-33</dc:subject>
  <dc:creator>State of Louisiana</dc:creator>
  <cp:keywords/>
  <dc:description/>
  <cp:lastModifiedBy>Faucher, Elizabeth</cp:lastModifiedBy>
  <cp:revision>9</cp:revision>
  <dcterms:created xsi:type="dcterms:W3CDTF">2024-12-12T14:10:00Z</dcterms:created>
  <dcterms:modified xsi:type="dcterms:W3CDTF">2025-08-07T18:07:00Z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2011-01-24T10:00:00Z</vt:filetime>
  </property>
  <property fmtid="{D5CDD505-2E9C-101B-9397-08002B2CF9AE}" pid="3" name="Creator">
    <vt:lpwstr>PScript5.dll Version 5.2.2</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4488ca19-8ddd-42f8-a916-20c83d6ed3a4</vt:lpwstr>
  </property>
  <property fmtid="{D5CDD505-2E9C-101B-9397-08002B2CF9AE}" pid="8" name="_dlc_DocIdItemGuid">
    <vt:lpwstr>f638ad7d-1f3c-4b37-a0d0-ef63ea0e036c</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