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E602" w14:textId="77777777" w:rsidR="00BD6EC4" w:rsidRPr="003C1E68" w:rsidRDefault="002D2A0B" w:rsidP="00C01041">
      <w:pPr>
        <w:rPr>
          <w:rFonts w:ascii="Times New Roman" w:hAnsi="Times New Roman" w:cs="Times New Roman"/>
          <w:b/>
          <w:sz w:val="36"/>
          <w:u w:val="single"/>
        </w:rPr>
      </w:pPr>
      <w:bookmarkStart w:id="0" w:name="OLE_LINK117"/>
      <w:r w:rsidRPr="003C1E68">
        <w:rPr>
          <w:rFonts w:ascii="Times New Roman" w:hAnsi="Times New Roman" w:cs="Times New Roman"/>
          <w:b/>
          <w:sz w:val="36"/>
          <w:u w:val="single"/>
        </w:rPr>
        <w:t>LIST OF ELIGIBLE ACTIVITIES</w:t>
      </w:r>
      <w:r w:rsidR="00F0446B" w:rsidRPr="003C1E68">
        <w:rPr>
          <w:rFonts w:ascii="Times New Roman" w:hAnsi="Times New Roman" w:cs="Times New Roman"/>
          <w:b/>
          <w:sz w:val="36"/>
          <w:u w:val="single"/>
        </w:rPr>
        <w:t xml:space="preserve"> - MOVING</w:t>
      </w:r>
    </w:p>
    <w:bookmarkEnd w:id="0"/>
    <w:p w14:paraId="61A1E603" w14:textId="77777777" w:rsidR="00BD6EC4" w:rsidRPr="003C1E68" w:rsidRDefault="00F0446B" w:rsidP="00C01041">
      <w:pPr>
        <w:rPr>
          <w:rFonts w:ascii="Times New Roman" w:hAnsi="Times New Roman" w:cs="Times New Roman"/>
          <w:b/>
          <w:sz w:val="24"/>
          <w:szCs w:val="24"/>
        </w:rPr>
      </w:pPr>
      <w:r w:rsidRPr="003C1E68">
        <w:rPr>
          <w:rFonts w:ascii="Times New Roman" w:hAnsi="Times New Roman" w:cs="Times New Roman"/>
          <w:b/>
          <w:sz w:val="24"/>
          <w:szCs w:val="24"/>
        </w:rPr>
        <w:t xml:space="preserve">Eligible: </w:t>
      </w:r>
    </w:p>
    <w:p w14:paraId="61A1E604" w14:textId="6D0BD3A7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Transportation of the displaced person and personal property. (This may include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reimbursement at the current mileage rate for personally owned vehicles that need to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be moved</w:t>
      </w:r>
      <w:r w:rsidR="00AE6E4C">
        <w:rPr>
          <w:rFonts w:cs="Times New Roman"/>
          <w:color w:val="000000"/>
        </w:rPr>
        <w:t>.)</w:t>
      </w:r>
      <w:r w:rsidRPr="00354BC4">
        <w:rPr>
          <w:rFonts w:cs="Times New Roman"/>
          <w:color w:val="000000"/>
        </w:rPr>
        <w:t xml:space="preserve"> Transportation costs for a distance beyond 50 miles are not eligible,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unless the Agency determines that relocation beyond 50 miles is justified.</w:t>
      </w:r>
    </w:p>
    <w:p w14:paraId="61A1E605" w14:textId="79C3AA7F" w:rsidR="00F0446B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Packing, crating, uncrating</w:t>
      </w:r>
      <w:r w:rsidR="00AE6E4C">
        <w:rPr>
          <w:rFonts w:cs="Times New Roman"/>
          <w:color w:val="000000"/>
        </w:rPr>
        <w:t>,</w:t>
      </w:r>
      <w:r w:rsidRPr="00354BC4">
        <w:rPr>
          <w:rFonts w:cs="Times New Roman"/>
          <w:color w:val="000000"/>
        </w:rPr>
        <w:t xml:space="preserve"> and unpacking of the personal property.</w:t>
      </w:r>
    </w:p>
    <w:p w14:paraId="61A1E606" w14:textId="77777777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Storage of the personal property for a period not to exceed 12 months, unless the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Agency determines that a longer period is necessary.</w:t>
      </w:r>
    </w:p>
    <w:p w14:paraId="61A1E607" w14:textId="37206987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Disconnecting, dismantling, removing, reassembling, and reinstalling relocated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household appliances and other personal property.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Insurance for the replacement value of the property in connection with the move and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necessary storage.</w:t>
      </w:r>
    </w:p>
    <w:p w14:paraId="61A1E608" w14:textId="61989F34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The replacement value of property lost, stolen, or damaged in the process of moving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(not through the fault or negligence of the displaced person, his or her agent, or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employee) where insurance covering such loss, theft</w:t>
      </w:r>
      <w:r w:rsidR="00B50FAC">
        <w:rPr>
          <w:rFonts w:cs="Times New Roman"/>
          <w:color w:val="000000"/>
        </w:rPr>
        <w:t>,</w:t>
      </w:r>
      <w:r w:rsidRPr="00354BC4">
        <w:rPr>
          <w:rFonts w:cs="Times New Roman"/>
          <w:color w:val="000000"/>
        </w:rPr>
        <w:t xml:space="preserve"> or damage is not reasonably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available.</w:t>
      </w:r>
    </w:p>
    <w:p w14:paraId="61A1E609" w14:textId="77777777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Credit checks.</w:t>
      </w:r>
    </w:p>
    <w:p w14:paraId="61A1E60A" w14:textId="77777777" w:rsidR="00BD6EC4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Utility hook-ups, including reinstallation of telephone and cable service.</w:t>
      </w:r>
    </w:p>
    <w:p w14:paraId="61A1E60B" w14:textId="77777777" w:rsidR="00F0446B" w:rsidRPr="00354BC4" w:rsidRDefault="00BD6EC4" w:rsidP="00354BC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Other costs as determined by the agency to be reasonable and necessary.</w:t>
      </w:r>
    </w:p>
    <w:p w14:paraId="61A1E60C" w14:textId="77777777" w:rsidR="00F0446B" w:rsidRPr="00354BC4" w:rsidRDefault="00F0446B" w:rsidP="00F0446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61A1E60D" w14:textId="77777777" w:rsidR="00BD6EC4" w:rsidRPr="00354BC4" w:rsidRDefault="00F0446B" w:rsidP="00F0446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</w:rPr>
      </w:pPr>
      <w:r w:rsidRPr="00354BC4">
        <w:rPr>
          <w:rFonts w:ascii="Times New Roman" w:hAnsi="Times New Roman" w:cs="Times New Roman"/>
          <w:b/>
          <w:color w:val="000000"/>
        </w:rPr>
        <w:t>Ineligible</w:t>
      </w:r>
      <w:r w:rsidR="00BD6EC4" w:rsidRPr="00354BC4">
        <w:rPr>
          <w:rFonts w:ascii="Times New Roman" w:hAnsi="Times New Roman" w:cs="Times New Roman"/>
          <w:b/>
          <w:color w:val="000000"/>
        </w:rPr>
        <w:t>:</w:t>
      </w:r>
    </w:p>
    <w:p w14:paraId="61A1E60E" w14:textId="77777777" w:rsidR="00BD6EC4" w:rsidRPr="00354BC4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Refundable security and utility deposits; or</w:t>
      </w:r>
    </w:p>
    <w:p w14:paraId="61A1E60F" w14:textId="77777777" w:rsidR="00BD6EC4" w:rsidRPr="00354BC4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Interest on a loan to cover moving expenses; or</w:t>
      </w:r>
    </w:p>
    <w:p w14:paraId="61A1E610" w14:textId="77777777" w:rsidR="00BD6EC4" w:rsidRPr="00354BC4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Personal injury; or</w:t>
      </w:r>
    </w:p>
    <w:p w14:paraId="61A1E611" w14:textId="77777777" w:rsidR="00BD6EC4" w:rsidRPr="00354BC4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Any legal fee or other cost for preparing a claim for a relocation payment or for</w:t>
      </w:r>
      <w:r w:rsid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representing the claimant before the Agency; or</w:t>
      </w:r>
    </w:p>
    <w:p w14:paraId="61A1E612" w14:textId="77777777" w:rsidR="00BD6EC4" w:rsidRPr="00354BC4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The cost of moving any structure or other real property improvement in which the</w:t>
      </w:r>
      <w:r w:rsidR="00354BC4">
        <w:rPr>
          <w:rFonts w:cs="Times New Roman"/>
          <w:color w:val="000000"/>
        </w:rPr>
        <w:t xml:space="preserve"> </w:t>
      </w:r>
      <w:r w:rsidR="00F0446B" w:rsidRPr="00354BC4">
        <w:rPr>
          <w:rFonts w:cs="Times New Roman"/>
          <w:color w:val="000000"/>
        </w:rPr>
        <w:t>d</w:t>
      </w:r>
      <w:r w:rsidRPr="00354BC4">
        <w:rPr>
          <w:rFonts w:cs="Times New Roman"/>
          <w:color w:val="000000"/>
        </w:rPr>
        <w:t>isplaced person reserved ownership; or</w:t>
      </w:r>
    </w:p>
    <w:p w14:paraId="61A1E613" w14:textId="77777777" w:rsidR="00C01041" w:rsidRDefault="00BD6EC4" w:rsidP="00354BC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354BC4">
        <w:rPr>
          <w:rFonts w:cs="Times New Roman"/>
          <w:color w:val="000000"/>
        </w:rPr>
        <w:t>Costs for storage of personal property on real property owned or leased by the</w:t>
      </w:r>
      <w:r w:rsidR="00F0446B" w:rsidRPr="00354BC4">
        <w:rPr>
          <w:rFonts w:cs="Times New Roman"/>
          <w:color w:val="000000"/>
        </w:rPr>
        <w:t xml:space="preserve"> </w:t>
      </w:r>
      <w:r w:rsidRPr="00354BC4">
        <w:rPr>
          <w:rFonts w:cs="Times New Roman"/>
          <w:color w:val="000000"/>
        </w:rPr>
        <w:t>displaced person before the initiation of negotiations.</w:t>
      </w:r>
    </w:p>
    <w:p w14:paraId="748E77CC" w14:textId="77777777" w:rsidR="00155AA2" w:rsidRPr="00155AA2" w:rsidRDefault="00155AA2" w:rsidP="00155AA2"/>
    <w:p w14:paraId="6978089A" w14:textId="77777777" w:rsidR="00155AA2" w:rsidRPr="00155AA2" w:rsidRDefault="00155AA2" w:rsidP="00155AA2"/>
    <w:p w14:paraId="34974EA5" w14:textId="77777777" w:rsidR="00155AA2" w:rsidRPr="00155AA2" w:rsidRDefault="00155AA2" w:rsidP="00155AA2"/>
    <w:p w14:paraId="3C50577A" w14:textId="77777777" w:rsidR="00155AA2" w:rsidRPr="00155AA2" w:rsidRDefault="00155AA2" w:rsidP="00155AA2"/>
    <w:p w14:paraId="27564FBC" w14:textId="77777777" w:rsidR="00155AA2" w:rsidRPr="00155AA2" w:rsidRDefault="00155AA2" w:rsidP="00155AA2"/>
    <w:p w14:paraId="189BABEE" w14:textId="77777777" w:rsidR="00155AA2" w:rsidRPr="00155AA2" w:rsidRDefault="00155AA2" w:rsidP="00155AA2"/>
    <w:p w14:paraId="7E08D4DB" w14:textId="77777777" w:rsidR="00155AA2" w:rsidRPr="00155AA2" w:rsidRDefault="00155AA2" w:rsidP="00155AA2"/>
    <w:p w14:paraId="6D362C5C" w14:textId="77777777" w:rsidR="00155AA2" w:rsidRPr="00155AA2" w:rsidRDefault="00155AA2" w:rsidP="00155AA2"/>
    <w:p w14:paraId="7EA94914" w14:textId="3F658BE3" w:rsidR="00155AA2" w:rsidRPr="00155AA2" w:rsidRDefault="00155AA2" w:rsidP="00155AA2">
      <w:pPr>
        <w:tabs>
          <w:tab w:val="left" w:pos="8174"/>
        </w:tabs>
      </w:pPr>
      <w:r>
        <w:tab/>
      </w:r>
    </w:p>
    <w:sectPr w:rsidR="00155AA2" w:rsidRPr="00155AA2" w:rsidSect="00155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CF59" w14:textId="77777777" w:rsidR="00680BB0" w:rsidRDefault="00680BB0" w:rsidP="00CB7C27">
      <w:pPr>
        <w:spacing w:after="0" w:line="240" w:lineRule="auto"/>
      </w:pPr>
      <w:r>
        <w:separator/>
      </w:r>
    </w:p>
  </w:endnote>
  <w:endnote w:type="continuationSeparator" w:id="0">
    <w:p w14:paraId="5509AA48" w14:textId="77777777" w:rsidR="00680BB0" w:rsidRDefault="00680BB0" w:rsidP="00CB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F8B7" w14:textId="77777777" w:rsidR="00B5016B" w:rsidRDefault="00B50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B6E" w14:textId="4492AD5A" w:rsidR="0079694C" w:rsidRPr="00315B24" w:rsidRDefault="00AA00A3" w:rsidP="00B5016B">
    <w:pPr>
      <w:pStyle w:val="Footer"/>
      <w:tabs>
        <w:tab w:val="left" w:pos="8640"/>
      </w:tabs>
      <w:rPr>
        <w:rFonts w:ascii="Times New Roman" w:hAnsi="Times New Roman"/>
        <w:sz w:val="18"/>
        <w:szCs w:val="18"/>
      </w:rPr>
    </w:pPr>
    <w:r w:rsidRPr="00315B24">
      <w:rPr>
        <w:rFonts w:ascii="Times New Roman" w:hAnsi="Times New Roman"/>
        <w:sz w:val="18"/>
        <w:szCs w:val="18"/>
      </w:rPr>
      <w:t>May 2025</w:t>
    </w:r>
    <w:r w:rsidRPr="00315B24">
      <w:rPr>
        <w:rFonts w:ascii="Times New Roman" w:hAnsi="Times New Roman"/>
        <w:sz w:val="18"/>
        <w:szCs w:val="18"/>
      </w:rPr>
      <w:tab/>
    </w:r>
    <w:r w:rsidRPr="00315B24">
      <w:rPr>
        <w:rFonts w:ascii="Times New Roman" w:hAnsi="Times New Roman"/>
        <w:sz w:val="18"/>
        <w:szCs w:val="18"/>
      </w:rPr>
      <w:tab/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105D" w14:textId="77777777" w:rsidR="00B5016B" w:rsidRDefault="00B50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B3F0" w14:textId="77777777" w:rsidR="00680BB0" w:rsidRDefault="00680BB0" w:rsidP="00CB7C27">
      <w:pPr>
        <w:spacing w:after="0" w:line="240" w:lineRule="auto"/>
      </w:pPr>
      <w:r>
        <w:separator/>
      </w:r>
    </w:p>
  </w:footnote>
  <w:footnote w:type="continuationSeparator" w:id="0">
    <w:p w14:paraId="5BE719FB" w14:textId="77777777" w:rsidR="00680BB0" w:rsidRDefault="00680BB0" w:rsidP="00CB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9AAB" w14:textId="77777777" w:rsidR="00B5016B" w:rsidRDefault="00B50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E618" w14:textId="1F30AEC7" w:rsidR="00FB7BEB" w:rsidRPr="00FB7BEB" w:rsidRDefault="0079694C" w:rsidP="00FB7BEB">
    <w:pPr>
      <w:pStyle w:val="Header"/>
      <w:jc w:val="right"/>
      <w:rPr>
        <w:rFonts w:ascii="Times New Roman" w:hAnsi="Times New Roman" w:cs="Times New Roman"/>
        <w:b/>
        <w:sz w:val="72"/>
        <w:szCs w:val="72"/>
      </w:rPr>
    </w:pPr>
    <w:r>
      <w:rPr>
        <w:rFonts w:ascii="Times New Roman" w:hAnsi="Times New Roman" w:cs="Times New Roman"/>
        <w:b/>
        <w:sz w:val="72"/>
        <w:szCs w:val="72"/>
      </w:rPr>
      <w:t>9</w:t>
    </w:r>
    <w:r w:rsidR="00551D86">
      <w:rPr>
        <w:rFonts w:ascii="Times New Roman" w:hAnsi="Times New Roman" w:cs="Times New Roman"/>
        <w:b/>
        <w:sz w:val="72"/>
        <w:szCs w:val="72"/>
      </w:rPr>
      <w:t>-20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247E" w14:textId="77777777" w:rsidR="00B5016B" w:rsidRDefault="00B50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0BF9"/>
    <w:multiLevelType w:val="hybridMultilevel"/>
    <w:tmpl w:val="1A06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B29E1"/>
    <w:multiLevelType w:val="hybridMultilevel"/>
    <w:tmpl w:val="1A06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13EF"/>
    <w:multiLevelType w:val="hybridMultilevel"/>
    <w:tmpl w:val="CFFA1F44"/>
    <w:lvl w:ilvl="0" w:tplc="2138D96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2F77"/>
    <w:multiLevelType w:val="hybridMultilevel"/>
    <w:tmpl w:val="07C0C4CA"/>
    <w:lvl w:ilvl="0" w:tplc="0CAEC7D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BD214C"/>
    <w:multiLevelType w:val="multilevel"/>
    <w:tmpl w:val="2410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D5D83"/>
    <w:multiLevelType w:val="multilevel"/>
    <w:tmpl w:val="47F4E5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Times New Roman" w:eastAsiaTheme="minorHAnsi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2811838">
    <w:abstractNumId w:val="5"/>
  </w:num>
  <w:num w:numId="2" w16cid:durableId="1054041383">
    <w:abstractNumId w:val="5"/>
  </w:num>
  <w:num w:numId="3" w16cid:durableId="862472755">
    <w:abstractNumId w:val="5"/>
  </w:num>
  <w:num w:numId="4" w16cid:durableId="567611600">
    <w:abstractNumId w:val="5"/>
  </w:num>
  <w:num w:numId="5" w16cid:durableId="1299411603">
    <w:abstractNumId w:val="3"/>
  </w:num>
  <w:num w:numId="6" w16cid:durableId="866723258">
    <w:abstractNumId w:val="4"/>
  </w:num>
  <w:num w:numId="7" w16cid:durableId="1137069981">
    <w:abstractNumId w:val="5"/>
  </w:num>
  <w:num w:numId="8" w16cid:durableId="1248081010">
    <w:abstractNumId w:val="5"/>
  </w:num>
  <w:num w:numId="9" w16cid:durableId="1502307168">
    <w:abstractNumId w:val="5"/>
  </w:num>
  <w:num w:numId="10" w16cid:durableId="1435172908">
    <w:abstractNumId w:val="5"/>
  </w:num>
  <w:num w:numId="11" w16cid:durableId="365448552">
    <w:abstractNumId w:val="2"/>
  </w:num>
  <w:num w:numId="12" w16cid:durableId="848565679">
    <w:abstractNumId w:val="5"/>
  </w:num>
  <w:num w:numId="13" w16cid:durableId="139617925">
    <w:abstractNumId w:val="5"/>
  </w:num>
  <w:num w:numId="14" w16cid:durableId="1849250205">
    <w:abstractNumId w:val="5"/>
  </w:num>
  <w:num w:numId="15" w16cid:durableId="561329354">
    <w:abstractNumId w:val="2"/>
  </w:num>
  <w:num w:numId="16" w16cid:durableId="140974066">
    <w:abstractNumId w:val="2"/>
  </w:num>
  <w:num w:numId="17" w16cid:durableId="2115056756">
    <w:abstractNumId w:val="2"/>
  </w:num>
  <w:num w:numId="18" w16cid:durableId="1534418857">
    <w:abstractNumId w:val="5"/>
  </w:num>
  <w:num w:numId="19" w16cid:durableId="1883595059">
    <w:abstractNumId w:val="5"/>
  </w:num>
  <w:num w:numId="20" w16cid:durableId="1506088294">
    <w:abstractNumId w:val="2"/>
  </w:num>
  <w:num w:numId="21" w16cid:durableId="2032874638">
    <w:abstractNumId w:val="5"/>
  </w:num>
  <w:num w:numId="22" w16cid:durableId="288513824">
    <w:abstractNumId w:val="5"/>
  </w:num>
  <w:num w:numId="23" w16cid:durableId="956565610">
    <w:abstractNumId w:val="2"/>
  </w:num>
  <w:num w:numId="24" w16cid:durableId="1353219423">
    <w:abstractNumId w:val="5"/>
  </w:num>
  <w:num w:numId="25" w16cid:durableId="1839076003">
    <w:abstractNumId w:val="5"/>
  </w:num>
  <w:num w:numId="26" w16cid:durableId="532697244">
    <w:abstractNumId w:val="2"/>
  </w:num>
  <w:num w:numId="27" w16cid:durableId="219053613">
    <w:abstractNumId w:val="5"/>
  </w:num>
  <w:num w:numId="28" w16cid:durableId="1914469359">
    <w:abstractNumId w:val="5"/>
  </w:num>
  <w:num w:numId="29" w16cid:durableId="794368350">
    <w:abstractNumId w:val="5"/>
  </w:num>
  <w:num w:numId="30" w16cid:durableId="642857444">
    <w:abstractNumId w:val="5"/>
  </w:num>
  <w:num w:numId="31" w16cid:durableId="469593968">
    <w:abstractNumId w:val="5"/>
  </w:num>
  <w:num w:numId="32" w16cid:durableId="1614358053">
    <w:abstractNumId w:val="5"/>
  </w:num>
  <w:num w:numId="33" w16cid:durableId="1584334188">
    <w:abstractNumId w:val="5"/>
  </w:num>
  <w:num w:numId="34" w16cid:durableId="1337460310">
    <w:abstractNumId w:val="5"/>
  </w:num>
  <w:num w:numId="35" w16cid:durableId="752701984">
    <w:abstractNumId w:val="5"/>
  </w:num>
  <w:num w:numId="36" w16cid:durableId="2095517272">
    <w:abstractNumId w:val="5"/>
  </w:num>
  <w:num w:numId="37" w16cid:durableId="828594488">
    <w:abstractNumId w:val="5"/>
  </w:num>
  <w:num w:numId="38" w16cid:durableId="19743300">
    <w:abstractNumId w:val="5"/>
  </w:num>
  <w:num w:numId="39" w16cid:durableId="28265151">
    <w:abstractNumId w:val="5"/>
  </w:num>
  <w:num w:numId="40" w16cid:durableId="2000421387">
    <w:abstractNumId w:val="0"/>
  </w:num>
  <w:num w:numId="41" w16cid:durableId="177212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1"/>
    <w:rsid w:val="000005B5"/>
    <w:rsid w:val="00001F80"/>
    <w:rsid w:val="00016BF1"/>
    <w:rsid w:val="00017068"/>
    <w:rsid w:val="0002049C"/>
    <w:rsid w:val="00021A5B"/>
    <w:rsid w:val="00041978"/>
    <w:rsid w:val="0005611A"/>
    <w:rsid w:val="00077218"/>
    <w:rsid w:val="00083F8E"/>
    <w:rsid w:val="000A3A84"/>
    <w:rsid w:val="000A6039"/>
    <w:rsid w:val="000B3B5C"/>
    <w:rsid w:val="000B4DAA"/>
    <w:rsid w:val="000B573B"/>
    <w:rsid w:val="000E0157"/>
    <w:rsid w:val="000F1E4D"/>
    <w:rsid w:val="000F2786"/>
    <w:rsid w:val="000F3CA4"/>
    <w:rsid w:val="0010568E"/>
    <w:rsid w:val="00105A26"/>
    <w:rsid w:val="001167D3"/>
    <w:rsid w:val="00155AA2"/>
    <w:rsid w:val="0016288F"/>
    <w:rsid w:val="00163741"/>
    <w:rsid w:val="0016542B"/>
    <w:rsid w:val="001838F6"/>
    <w:rsid w:val="001A1BCE"/>
    <w:rsid w:val="001B381A"/>
    <w:rsid w:val="001C0B2C"/>
    <w:rsid w:val="001C2CB7"/>
    <w:rsid w:val="001C57C3"/>
    <w:rsid w:val="001F25D5"/>
    <w:rsid w:val="00207731"/>
    <w:rsid w:val="00214383"/>
    <w:rsid w:val="002148C6"/>
    <w:rsid w:val="00222C03"/>
    <w:rsid w:val="00225256"/>
    <w:rsid w:val="002971F1"/>
    <w:rsid w:val="002A6F34"/>
    <w:rsid w:val="002B2F7A"/>
    <w:rsid w:val="002C733E"/>
    <w:rsid w:val="002D2A0B"/>
    <w:rsid w:val="002E2B91"/>
    <w:rsid w:val="002E445B"/>
    <w:rsid w:val="002E73BD"/>
    <w:rsid w:val="00301942"/>
    <w:rsid w:val="00315B24"/>
    <w:rsid w:val="0033302D"/>
    <w:rsid w:val="00347232"/>
    <w:rsid w:val="003544E6"/>
    <w:rsid w:val="00354BC4"/>
    <w:rsid w:val="003567B7"/>
    <w:rsid w:val="003761F9"/>
    <w:rsid w:val="00381012"/>
    <w:rsid w:val="003A0532"/>
    <w:rsid w:val="003C1E68"/>
    <w:rsid w:val="003E2EEC"/>
    <w:rsid w:val="003F182F"/>
    <w:rsid w:val="0040310B"/>
    <w:rsid w:val="0040337C"/>
    <w:rsid w:val="00417C40"/>
    <w:rsid w:val="00421D06"/>
    <w:rsid w:val="004233DB"/>
    <w:rsid w:val="00431F5B"/>
    <w:rsid w:val="00436EBC"/>
    <w:rsid w:val="00452E17"/>
    <w:rsid w:val="00453FA0"/>
    <w:rsid w:val="004827F8"/>
    <w:rsid w:val="00484AFA"/>
    <w:rsid w:val="00490D55"/>
    <w:rsid w:val="004B5EDF"/>
    <w:rsid w:val="004C5C7A"/>
    <w:rsid w:val="004D7D2C"/>
    <w:rsid w:val="004E1C29"/>
    <w:rsid w:val="00502B0C"/>
    <w:rsid w:val="00514073"/>
    <w:rsid w:val="0051652F"/>
    <w:rsid w:val="005365FF"/>
    <w:rsid w:val="00551D86"/>
    <w:rsid w:val="005619E4"/>
    <w:rsid w:val="00565188"/>
    <w:rsid w:val="005724F1"/>
    <w:rsid w:val="005868AD"/>
    <w:rsid w:val="00596D2D"/>
    <w:rsid w:val="005B00B3"/>
    <w:rsid w:val="005B37A8"/>
    <w:rsid w:val="005C1FB5"/>
    <w:rsid w:val="005C447D"/>
    <w:rsid w:val="005D0C90"/>
    <w:rsid w:val="005D2936"/>
    <w:rsid w:val="00610978"/>
    <w:rsid w:val="00615726"/>
    <w:rsid w:val="00626008"/>
    <w:rsid w:val="006338FF"/>
    <w:rsid w:val="0063402C"/>
    <w:rsid w:val="0064089A"/>
    <w:rsid w:val="00654E12"/>
    <w:rsid w:val="00655B96"/>
    <w:rsid w:val="00675C32"/>
    <w:rsid w:val="00677EDA"/>
    <w:rsid w:val="00680BB0"/>
    <w:rsid w:val="006862F4"/>
    <w:rsid w:val="00695978"/>
    <w:rsid w:val="006A1DBA"/>
    <w:rsid w:val="006A455E"/>
    <w:rsid w:val="006A482B"/>
    <w:rsid w:val="006C1E6D"/>
    <w:rsid w:val="006E3CC3"/>
    <w:rsid w:val="006F5BE4"/>
    <w:rsid w:val="00715E26"/>
    <w:rsid w:val="00716527"/>
    <w:rsid w:val="00720C17"/>
    <w:rsid w:val="00744B8B"/>
    <w:rsid w:val="00752345"/>
    <w:rsid w:val="00757882"/>
    <w:rsid w:val="007673F8"/>
    <w:rsid w:val="00795817"/>
    <w:rsid w:val="0079694C"/>
    <w:rsid w:val="007A2B3F"/>
    <w:rsid w:val="007A4867"/>
    <w:rsid w:val="007A4CA8"/>
    <w:rsid w:val="007A7A47"/>
    <w:rsid w:val="007F3CDA"/>
    <w:rsid w:val="007F4ACA"/>
    <w:rsid w:val="00803907"/>
    <w:rsid w:val="00811827"/>
    <w:rsid w:val="00815A97"/>
    <w:rsid w:val="00824BE9"/>
    <w:rsid w:val="0085302A"/>
    <w:rsid w:val="00876D63"/>
    <w:rsid w:val="00897F67"/>
    <w:rsid w:val="008A528B"/>
    <w:rsid w:val="008C02C2"/>
    <w:rsid w:val="008D346F"/>
    <w:rsid w:val="008D70CD"/>
    <w:rsid w:val="008E55D9"/>
    <w:rsid w:val="0090049E"/>
    <w:rsid w:val="00904E4B"/>
    <w:rsid w:val="00917BDE"/>
    <w:rsid w:val="00937037"/>
    <w:rsid w:val="00945B33"/>
    <w:rsid w:val="00947749"/>
    <w:rsid w:val="009823FC"/>
    <w:rsid w:val="00986AB3"/>
    <w:rsid w:val="00993B17"/>
    <w:rsid w:val="009A41D3"/>
    <w:rsid w:val="009C74AF"/>
    <w:rsid w:val="009D3DF5"/>
    <w:rsid w:val="009D5A5E"/>
    <w:rsid w:val="009F020E"/>
    <w:rsid w:val="009F77A5"/>
    <w:rsid w:val="00A02992"/>
    <w:rsid w:val="00A34273"/>
    <w:rsid w:val="00A354CD"/>
    <w:rsid w:val="00A43A34"/>
    <w:rsid w:val="00A62E61"/>
    <w:rsid w:val="00A63E94"/>
    <w:rsid w:val="00A858A2"/>
    <w:rsid w:val="00A9521F"/>
    <w:rsid w:val="00AA007E"/>
    <w:rsid w:val="00AA00A3"/>
    <w:rsid w:val="00AA1F34"/>
    <w:rsid w:val="00AB1538"/>
    <w:rsid w:val="00AB1970"/>
    <w:rsid w:val="00AC7EC5"/>
    <w:rsid w:val="00AE6E4C"/>
    <w:rsid w:val="00AF6BC6"/>
    <w:rsid w:val="00B258B6"/>
    <w:rsid w:val="00B31D93"/>
    <w:rsid w:val="00B5016B"/>
    <w:rsid w:val="00B50FAC"/>
    <w:rsid w:val="00B615C4"/>
    <w:rsid w:val="00B624E8"/>
    <w:rsid w:val="00B720C6"/>
    <w:rsid w:val="00B72175"/>
    <w:rsid w:val="00B90861"/>
    <w:rsid w:val="00BC0745"/>
    <w:rsid w:val="00BD66C7"/>
    <w:rsid w:val="00BD6EC4"/>
    <w:rsid w:val="00C01041"/>
    <w:rsid w:val="00C05958"/>
    <w:rsid w:val="00C30CAF"/>
    <w:rsid w:val="00C34668"/>
    <w:rsid w:val="00C44543"/>
    <w:rsid w:val="00C87B15"/>
    <w:rsid w:val="00C908EA"/>
    <w:rsid w:val="00CB62F0"/>
    <w:rsid w:val="00CB7C27"/>
    <w:rsid w:val="00CC378E"/>
    <w:rsid w:val="00D0683E"/>
    <w:rsid w:val="00D20FF2"/>
    <w:rsid w:val="00D775C7"/>
    <w:rsid w:val="00D9712F"/>
    <w:rsid w:val="00DA3A19"/>
    <w:rsid w:val="00DD0785"/>
    <w:rsid w:val="00DD24ED"/>
    <w:rsid w:val="00DE318B"/>
    <w:rsid w:val="00DE748B"/>
    <w:rsid w:val="00E02D4F"/>
    <w:rsid w:val="00E153EF"/>
    <w:rsid w:val="00E259C5"/>
    <w:rsid w:val="00E25C82"/>
    <w:rsid w:val="00E3609E"/>
    <w:rsid w:val="00E500D2"/>
    <w:rsid w:val="00E85713"/>
    <w:rsid w:val="00EB1A11"/>
    <w:rsid w:val="00EB20B6"/>
    <w:rsid w:val="00EC1069"/>
    <w:rsid w:val="00EF5909"/>
    <w:rsid w:val="00F00923"/>
    <w:rsid w:val="00F0446B"/>
    <w:rsid w:val="00F13E14"/>
    <w:rsid w:val="00F1781D"/>
    <w:rsid w:val="00F2460D"/>
    <w:rsid w:val="00F320AB"/>
    <w:rsid w:val="00F63032"/>
    <w:rsid w:val="00F66A5E"/>
    <w:rsid w:val="00F70111"/>
    <w:rsid w:val="00F70992"/>
    <w:rsid w:val="00F72528"/>
    <w:rsid w:val="00F8409C"/>
    <w:rsid w:val="00F84EFD"/>
    <w:rsid w:val="00F925A9"/>
    <w:rsid w:val="00FA39A8"/>
    <w:rsid w:val="00FB5A8D"/>
    <w:rsid w:val="00FB5E7D"/>
    <w:rsid w:val="00FB7BEB"/>
    <w:rsid w:val="00FC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1E602"/>
  <w15:docId w15:val="{112BAC04-78AD-4F80-AC1B-E81455C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41"/>
    <w:rPr>
      <w:rFonts w:asciiTheme="minorHAnsi" w:hAnsiTheme="minorHAnsi"/>
    </w:rPr>
  </w:style>
  <w:style w:type="paragraph" w:styleId="Heading1">
    <w:name w:val="heading 1"/>
    <w:aliases w:val="CDBG ADMIN TOPIC 1"/>
    <w:basedOn w:val="Normal"/>
    <w:next w:val="Normal"/>
    <w:link w:val="Heading1Char"/>
    <w:uiPriority w:val="9"/>
    <w:qFormat/>
    <w:rsid w:val="007673F8"/>
    <w:pPr>
      <w:keepNext/>
      <w:keepLines/>
      <w:numPr>
        <w:numId w:val="39"/>
      </w:numPr>
      <w:spacing w:before="48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aliases w:val="CDBG TOPIC 2"/>
    <w:basedOn w:val="Normal"/>
    <w:next w:val="Normal"/>
    <w:link w:val="Heading2Char"/>
    <w:uiPriority w:val="9"/>
    <w:unhideWhenUsed/>
    <w:qFormat/>
    <w:rsid w:val="007673F8"/>
    <w:pPr>
      <w:keepNext/>
      <w:keepLines/>
      <w:numPr>
        <w:ilvl w:val="1"/>
        <w:numId w:val="39"/>
      </w:numPr>
      <w:spacing w:before="20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aliases w:val="CDBG TOPIC 3"/>
    <w:basedOn w:val="Normal"/>
    <w:next w:val="Normal"/>
    <w:link w:val="Heading3Char"/>
    <w:uiPriority w:val="9"/>
    <w:unhideWhenUsed/>
    <w:qFormat/>
    <w:rsid w:val="007673F8"/>
    <w:pPr>
      <w:keepNext/>
      <w:keepLines/>
      <w:numPr>
        <w:ilvl w:val="2"/>
        <w:numId w:val="39"/>
      </w:numPr>
      <w:spacing w:before="200" w:line="24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6"/>
    <w:pPr>
      <w:keepNext/>
      <w:keepLines/>
      <w:numPr>
        <w:ilvl w:val="3"/>
        <w:numId w:val="3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1">
    <w:name w:val="LTM Heading 1"/>
    <w:basedOn w:val="Heading1"/>
    <w:qFormat/>
    <w:rsid w:val="00C44543"/>
    <w:pPr>
      <w:keepLines w:val="0"/>
      <w:numPr>
        <w:numId w:val="0"/>
      </w:numPr>
      <w:tabs>
        <w:tab w:val="left" w:pos="720"/>
        <w:tab w:val="right" w:leader="dot" w:pos="9360"/>
      </w:tabs>
      <w:spacing w:before="0"/>
    </w:pPr>
    <w:rPr>
      <w:rFonts w:eastAsia="Times New Roman" w:cs="Arial"/>
      <w:color w:val="800000"/>
      <w:kern w:val="32"/>
      <w:szCs w:val="32"/>
    </w:rPr>
  </w:style>
  <w:style w:type="character" w:customStyle="1" w:styleId="Heading1Char">
    <w:name w:val="Heading 1 Char"/>
    <w:aliases w:val="CDBG ADMIN TOPIC 1 Char"/>
    <w:basedOn w:val="DefaultParagraphFont"/>
    <w:link w:val="Heading1"/>
    <w:uiPriority w:val="9"/>
    <w:rsid w:val="00AF6BC6"/>
    <w:rPr>
      <w:rFonts w:eastAsiaTheme="majorEastAsia" w:cstheme="majorBidi"/>
      <w:b/>
      <w:bCs/>
      <w:sz w:val="24"/>
      <w:szCs w:val="28"/>
    </w:rPr>
  </w:style>
  <w:style w:type="paragraph" w:customStyle="1" w:styleId="LTMHeading2">
    <w:name w:val="LTM Heading 2"/>
    <w:basedOn w:val="Heading2"/>
    <w:qFormat/>
    <w:rsid w:val="00C44543"/>
    <w:pPr>
      <w:keepLines w:val="0"/>
      <w:numPr>
        <w:ilvl w:val="0"/>
        <w:numId w:val="0"/>
      </w:numPr>
      <w:tabs>
        <w:tab w:val="left" w:pos="965"/>
        <w:tab w:val="right" w:leader="dot" w:pos="9360"/>
      </w:tabs>
      <w:spacing w:before="240" w:after="60"/>
    </w:pPr>
    <w:rPr>
      <w:rFonts w:eastAsia="Times New Roman" w:cs="Arial"/>
      <w:iCs/>
      <w:color w:val="800000"/>
      <w:sz w:val="28"/>
      <w:szCs w:val="28"/>
    </w:rPr>
  </w:style>
  <w:style w:type="character" w:customStyle="1" w:styleId="Heading2Char">
    <w:name w:val="Heading 2 Char"/>
    <w:aliases w:val="CDBG TOPIC 2 Char"/>
    <w:basedOn w:val="DefaultParagraphFont"/>
    <w:link w:val="Heading2"/>
    <w:uiPriority w:val="9"/>
    <w:rsid w:val="00AF6BC6"/>
    <w:rPr>
      <w:rFonts w:eastAsiaTheme="majorEastAsia" w:cstheme="majorBidi"/>
      <w:b/>
      <w:bCs/>
      <w:sz w:val="24"/>
      <w:szCs w:val="26"/>
    </w:rPr>
  </w:style>
  <w:style w:type="paragraph" w:customStyle="1" w:styleId="LTMHeading3">
    <w:name w:val="LTM Heading 3"/>
    <w:basedOn w:val="Heading3"/>
    <w:qFormat/>
    <w:rsid w:val="00C44543"/>
    <w:pPr>
      <w:keepLines w:val="0"/>
      <w:numPr>
        <w:ilvl w:val="0"/>
        <w:numId w:val="0"/>
      </w:numPr>
      <w:spacing w:before="240" w:after="60"/>
    </w:pPr>
    <w:rPr>
      <w:rFonts w:eastAsia="Calibri" w:cs="Arial"/>
      <w:color w:val="800000"/>
      <w:sz w:val="28"/>
      <w:szCs w:val="26"/>
    </w:rPr>
  </w:style>
  <w:style w:type="character" w:customStyle="1" w:styleId="Heading3Char">
    <w:name w:val="Heading 3 Char"/>
    <w:aliases w:val="CDBG TOPIC 3 Char"/>
    <w:basedOn w:val="DefaultParagraphFont"/>
    <w:link w:val="Heading3"/>
    <w:uiPriority w:val="9"/>
    <w:rsid w:val="00AF6BC6"/>
    <w:rPr>
      <w:rFonts w:eastAsiaTheme="majorEastAsia" w:cstheme="majorBidi"/>
      <w:b/>
      <w:bCs/>
      <w:sz w:val="24"/>
      <w:szCs w:val="20"/>
    </w:rPr>
  </w:style>
  <w:style w:type="paragraph" w:customStyle="1" w:styleId="LTMHeading4">
    <w:name w:val="LTM Heading 4"/>
    <w:basedOn w:val="Heading4"/>
    <w:qFormat/>
    <w:rsid w:val="00C44543"/>
    <w:pPr>
      <w:keepLines w:val="0"/>
      <w:numPr>
        <w:ilvl w:val="0"/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i w:val="0"/>
      <w:iCs w:val="0"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DBGAdminSection">
    <w:name w:val="CDBG Admin Section"/>
    <w:basedOn w:val="Normal"/>
    <w:qFormat/>
    <w:rsid w:val="000005B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26008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01041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C01041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C01041"/>
  </w:style>
  <w:style w:type="paragraph" w:styleId="HTMLPreformatted">
    <w:name w:val="HTML Preformatted"/>
    <w:basedOn w:val="Normal"/>
    <w:link w:val="HTMLPreformattedChar"/>
    <w:rsid w:val="00C01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01041"/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7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E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AWS654NDWC4M-233607049-61393</_dlc_DocId>
    <_dlc_DocIdUrl xmlns="175e5819-97ec-4bc2-81dc-ed3b6d97d97a">
      <Url>https://intranet.la.gov/doa/ocd/compliance/_layouts/15/DocIdRedir.aspx?ID=AWS654NDWC4M-233607049-61393</Url>
      <Description>AWS654NDWC4M-233607049-61393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765D334-D690-469D-A890-A6D0B40E4199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5063B6-AAFE-43BC-92A3-F1B51157F5DC}"/>
</file>

<file path=customXml/itemProps3.xml><?xml version="1.0" encoding="utf-8"?>
<ds:datastoreItem xmlns:ds="http://schemas.openxmlformats.org/officeDocument/2006/customXml" ds:itemID="{167B6A6B-B06D-4AF9-B520-F1F7242D4669}"/>
</file>

<file path=customXml/itemProps4.xml><?xml version="1.0" encoding="utf-8"?>
<ds:datastoreItem xmlns:ds="http://schemas.openxmlformats.org/officeDocument/2006/customXml" ds:itemID="{E1DCD3A7-4B88-4FA0-AC58-D7E780DBEC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1476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ELIGIBLE ACTIVITIES - MOVING</dc:title>
  <dc:subject>Exhibit 9-20</dc:subject>
  <dc:creator>State of Louisiana</dc:creator>
  <cp:keywords/>
  <dc:description/>
  <cp:lastModifiedBy>Faucher, Elizabeth</cp:lastModifiedBy>
  <cp:revision>10</cp:revision>
  <dcterms:created xsi:type="dcterms:W3CDTF">2023-05-23T14:41:00Z</dcterms:created>
  <dcterms:modified xsi:type="dcterms:W3CDTF">2025-08-07T17:07:00Z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26ff4cbb-8651-44d9-b9ba-88b56404c846</vt:lpwstr>
  </property>
  <property fmtid="{D5CDD505-2E9C-101B-9397-08002B2CF9AE}" pid="8" name="_dlc_DocIdItemGuid">
    <vt:lpwstr>db1978f0-8603-4fdb-9cee-63dc012eac6c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