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A899F" w14:textId="77777777" w:rsidR="00DB4191" w:rsidRDefault="001B03AC">
      <w:pPr>
        <w:spacing w:before="57"/>
        <w:ind w:right="117"/>
        <w:jc w:val="right"/>
        <w:rPr>
          <w:b/>
          <w:sz w:val="72"/>
        </w:rPr>
      </w:pPr>
      <w:r>
        <w:rPr>
          <w:b/>
          <w:sz w:val="72"/>
        </w:rPr>
        <w:t>4</w:t>
      </w:r>
      <w:r w:rsidR="00790792">
        <w:rPr>
          <w:b/>
          <w:sz w:val="72"/>
        </w:rPr>
        <w:t>-3</w:t>
      </w:r>
    </w:p>
    <w:p w14:paraId="30FE4D23" w14:textId="77777777" w:rsidR="00DB4191" w:rsidRDefault="00790792" w:rsidP="346F4E27">
      <w:pPr>
        <w:spacing w:before="85"/>
        <w:ind w:left="100"/>
        <w:rPr>
          <w:b/>
          <w:bCs/>
          <w:sz w:val="36"/>
          <w:szCs w:val="36"/>
        </w:rPr>
      </w:pPr>
      <w:bookmarkStart w:id="0" w:name="OLE_LINK59"/>
      <w:r w:rsidRPr="346F4E27">
        <w:rPr>
          <w:b/>
          <w:bCs/>
          <w:sz w:val="36"/>
          <w:szCs w:val="36"/>
          <w:u w:val="thick"/>
        </w:rPr>
        <w:t>24 CFR § 570.489(h) CONFLICT OF INTEREST</w:t>
      </w:r>
    </w:p>
    <w:bookmarkEnd w:id="0"/>
    <w:p w14:paraId="26E21048" w14:textId="77777777" w:rsidR="00DB4191" w:rsidRPr="00EB754E" w:rsidRDefault="00790792">
      <w:pPr>
        <w:pStyle w:val="ListParagraph"/>
        <w:numPr>
          <w:ilvl w:val="0"/>
          <w:numId w:val="1"/>
        </w:numPr>
        <w:tabs>
          <w:tab w:val="left" w:pos="821"/>
        </w:tabs>
        <w:spacing w:before="247"/>
        <w:rPr>
          <w:i/>
        </w:rPr>
      </w:pPr>
      <w:r w:rsidRPr="00EB754E">
        <w:rPr>
          <w:i/>
        </w:rPr>
        <w:t>Applicability.</w:t>
      </w:r>
    </w:p>
    <w:p w14:paraId="49976875" w14:textId="77777777" w:rsidR="00DB4191" w:rsidRPr="00EB754E" w:rsidRDefault="00790792" w:rsidP="0FFF29F3">
      <w:pPr>
        <w:pStyle w:val="ListParagraph"/>
        <w:numPr>
          <w:ilvl w:val="1"/>
          <w:numId w:val="1"/>
        </w:numPr>
        <w:tabs>
          <w:tab w:val="left" w:pos="1181"/>
        </w:tabs>
        <w:ind w:right="355"/>
      </w:pPr>
      <w:r w:rsidRPr="00EB754E">
        <w:t xml:space="preserve">In the procurement of supplies, equipment, construction, and services by recipients, and by subrecipients (including those specified at § 570.204(c)), the </w:t>
      </w:r>
      <w:proofErr w:type="gramStart"/>
      <w:r w:rsidRPr="00EB754E">
        <w:t>conflict of interest</w:t>
      </w:r>
      <w:proofErr w:type="gramEnd"/>
      <w:r w:rsidRPr="00EB754E">
        <w:t xml:space="preserve"> provisions in 2 CFR 200.318, shall</w:t>
      </w:r>
      <w:r w:rsidRPr="00EB754E">
        <w:rPr>
          <w:spacing w:val="-10"/>
        </w:rPr>
        <w:t xml:space="preserve"> </w:t>
      </w:r>
      <w:r w:rsidRPr="00EB754E">
        <w:t>apply.</w:t>
      </w:r>
      <w:r w:rsidR="005C4AF4" w:rsidRPr="00EB754E">
        <w:t xml:space="preserve">  See </w:t>
      </w:r>
      <w:hyperlink r:id="rId10" w:history="1">
        <w:r w:rsidR="00513D0D" w:rsidRPr="00EB754E">
          <w:rPr>
            <w:rStyle w:val="Hyperlink"/>
          </w:rPr>
          <w:t>https://www.ecfr.gov/current/title-2/subtitle-A/chapter-II/part-200/subpart-D/subject-group-ECFR45ddd4419ad436d/section-200.318</w:t>
        </w:r>
      </w:hyperlink>
    </w:p>
    <w:p w14:paraId="508F2339" w14:textId="77777777" w:rsidR="00513D0D" w:rsidRPr="00EB754E" w:rsidRDefault="00513D0D" w:rsidP="001B03AC">
      <w:pPr>
        <w:pStyle w:val="ListParagraph"/>
        <w:tabs>
          <w:tab w:val="left" w:pos="1181"/>
        </w:tabs>
        <w:ind w:right="355" w:firstLine="0"/>
      </w:pPr>
    </w:p>
    <w:p w14:paraId="1E472FEE" w14:textId="77777777" w:rsidR="00DB4191" w:rsidRPr="00EB754E" w:rsidRDefault="00790792">
      <w:pPr>
        <w:pStyle w:val="ListParagraph"/>
        <w:numPr>
          <w:ilvl w:val="1"/>
          <w:numId w:val="1"/>
        </w:numPr>
        <w:tabs>
          <w:tab w:val="left" w:pos="1181"/>
        </w:tabs>
        <w:ind w:right="358"/>
      </w:pPr>
      <w:r w:rsidRPr="00EB754E">
        <w:t xml:space="preserve">In all cases not governed by 2 CFR 200.318, the provisions of this section shall apply. Such cases include the acquisition and disposition of real property and the </w:t>
      </w:r>
      <w:r w:rsidR="00CF1687" w:rsidRPr="00EB754E">
        <w:t>provision of</w:t>
      </w:r>
      <w:r w:rsidRPr="00EB754E">
        <w:t xml:space="preserve"> assistance </w:t>
      </w:r>
      <w:r w:rsidR="005A7969" w:rsidRPr="00EB754E">
        <w:t>with CDBG</w:t>
      </w:r>
      <w:r w:rsidR="0052045A" w:rsidRPr="00EB754E">
        <w:t>-DR or CDBG-MIT</w:t>
      </w:r>
      <w:r w:rsidR="005A7969" w:rsidRPr="00EB754E">
        <w:t xml:space="preserve"> funds by the unit of general local government or its subrecipients, to individuals, businesses and other private entities.</w:t>
      </w:r>
    </w:p>
    <w:p w14:paraId="2C06785B" w14:textId="77777777" w:rsidR="00611B0E" w:rsidRPr="00FA0E95" w:rsidRDefault="00611B0E" w:rsidP="00EB754E">
      <w:pPr>
        <w:pStyle w:val="ListParagraph"/>
      </w:pPr>
    </w:p>
    <w:p w14:paraId="0F440C0F" w14:textId="77777777" w:rsidR="00DB4191" w:rsidRPr="00EB754E" w:rsidRDefault="00790792" w:rsidP="0FFF29F3">
      <w:pPr>
        <w:pStyle w:val="ListParagraph"/>
        <w:numPr>
          <w:ilvl w:val="0"/>
          <w:numId w:val="1"/>
        </w:numPr>
        <w:tabs>
          <w:tab w:val="left" w:pos="821"/>
        </w:tabs>
        <w:ind w:right="357"/>
      </w:pPr>
      <w:r w:rsidRPr="00EB754E">
        <w:rPr>
          <w:i/>
          <w:iCs/>
        </w:rPr>
        <w:t xml:space="preserve">Conflicts prohibited. </w:t>
      </w:r>
      <w:r w:rsidRPr="00EB754E">
        <w:t>Except for the use of CDBG</w:t>
      </w:r>
      <w:r w:rsidR="001B03AC" w:rsidRPr="00EB754E">
        <w:t>-DR</w:t>
      </w:r>
      <w:r w:rsidR="0052045A" w:rsidRPr="00EB754E">
        <w:t xml:space="preserve"> or CDBG-MIT</w:t>
      </w:r>
      <w:r w:rsidRPr="00EB754E">
        <w:t xml:space="preserve"> funds to pay salaries and other related administrative or personnel costs, the general rule is that no persons described in paragraph (c) of this section who exercise or have exercised any functions or responsibilities with respect to CDBG</w:t>
      </w:r>
      <w:r w:rsidR="001B03AC" w:rsidRPr="00EB754E">
        <w:t>-DR</w:t>
      </w:r>
      <w:r w:rsidRPr="00EB754E">
        <w:t xml:space="preserve"> </w:t>
      </w:r>
      <w:r w:rsidR="0052045A" w:rsidRPr="00EB754E">
        <w:t xml:space="preserve">or CDBG-MIT </w:t>
      </w:r>
      <w:r w:rsidRPr="00EB754E">
        <w:t>activities assisted under this part, or who are in a position to participate in a decision making process or to gain inside information with regard to such activities, may obtain a financial interest or benefit from a CDBG</w:t>
      </w:r>
      <w:r w:rsidR="001B03AC" w:rsidRPr="00EB754E">
        <w:t>-DR</w:t>
      </w:r>
      <w:r w:rsidR="0052045A" w:rsidRPr="00EB754E">
        <w:t xml:space="preserve"> or CDBG-MIT</w:t>
      </w:r>
      <w:r w:rsidRPr="00EB754E">
        <w:t>-assisted activity, or have a financial interest in any contract, subcontract, or agreement  with respect to a CDBG</w:t>
      </w:r>
      <w:r w:rsidR="001B03AC" w:rsidRPr="00EB754E">
        <w:t>-DR</w:t>
      </w:r>
      <w:r w:rsidR="00D66B16" w:rsidRPr="00EB754E">
        <w:t xml:space="preserve"> or CDBG-MIT</w:t>
      </w:r>
      <w:r w:rsidRPr="00EB754E">
        <w:t>-assisted activity, or with respect to the proceeds of the CDBG</w:t>
      </w:r>
      <w:r w:rsidR="001B03AC" w:rsidRPr="00EB754E">
        <w:t>-DR</w:t>
      </w:r>
      <w:r w:rsidR="0052045A" w:rsidRPr="00EB754E">
        <w:t xml:space="preserve"> or CDBG-MIT</w:t>
      </w:r>
      <w:r w:rsidRPr="00EB754E">
        <w:t>- assisted activity, either for themselves or those with who they have family or business ties, during their tenure or for one year thereafter</w:t>
      </w:r>
      <w:r w:rsidR="00D268FA" w:rsidRPr="00EB754E">
        <w:t>.</w:t>
      </w:r>
    </w:p>
    <w:p w14:paraId="408F5C7D" w14:textId="77777777" w:rsidR="00D268FA" w:rsidRPr="00EB754E" w:rsidRDefault="00D268FA" w:rsidP="00EB754E">
      <w:pPr>
        <w:pStyle w:val="ListParagraph"/>
        <w:tabs>
          <w:tab w:val="left" w:pos="821"/>
        </w:tabs>
        <w:ind w:left="820" w:right="357" w:firstLine="0"/>
      </w:pPr>
    </w:p>
    <w:p w14:paraId="56DBF45C" w14:textId="77777777" w:rsidR="00DB4191" w:rsidRPr="00EB754E" w:rsidRDefault="00790792">
      <w:pPr>
        <w:pStyle w:val="ListParagraph"/>
        <w:numPr>
          <w:ilvl w:val="0"/>
          <w:numId w:val="1"/>
        </w:numPr>
        <w:tabs>
          <w:tab w:val="left" w:pos="821"/>
        </w:tabs>
        <w:ind w:right="356"/>
      </w:pPr>
      <w:r w:rsidRPr="00EB754E">
        <w:rPr>
          <w:i/>
        </w:rPr>
        <w:t xml:space="preserve">Persons covered. </w:t>
      </w:r>
      <w:r w:rsidRPr="00EB754E">
        <w:t xml:space="preserve">The </w:t>
      </w:r>
      <w:proofErr w:type="gramStart"/>
      <w:r w:rsidR="00046A50" w:rsidRPr="00EB754E">
        <w:t>conflict</w:t>
      </w:r>
      <w:r w:rsidR="00882FD1" w:rsidRPr="00EB754E">
        <w:t xml:space="preserve"> </w:t>
      </w:r>
      <w:r w:rsidR="00046A50" w:rsidRPr="00EB754E">
        <w:t>of</w:t>
      </w:r>
      <w:r w:rsidR="00882FD1" w:rsidRPr="00EB754E">
        <w:t xml:space="preserve"> </w:t>
      </w:r>
      <w:r w:rsidR="00046A50" w:rsidRPr="00EB754E">
        <w:t>interest</w:t>
      </w:r>
      <w:proofErr w:type="gramEnd"/>
      <w:r w:rsidRPr="00EB754E">
        <w:t xml:space="preserve"> provisions of paragraph (</w:t>
      </w:r>
      <w:r w:rsidR="00DD2CAB" w:rsidRPr="00EB754E">
        <w:t>2</w:t>
      </w:r>
      <w:r w:rsidR="00046A50" w:rsidRPr="00EB754E">
        <w:t>) of</w:t>
      </w:r>
      <w:r w:rsidRPr="00EB754E">
        <w:t xml:space="preserve"> </w:t>
      </w:r>
      <w:r w:rsidR="00046A50" w:rsidRPr="00EB754E">
        <w:t>this section</w:t>
      </w:r>
      <w:r w:rsidRPr="00EB754E">
        <w:t xml:space="preserve"> apply to any person who is an employee, agent, consultant, officer, or elected official or appointed official of the recipient, or of any designated public agencies, or subrecipients which are receiving funds under this</w:t>
      </w:r>
      <w:r w:rsidRPr="00EB754E">
        <w:rPr>
          <w:spacing w:val="-8"/>
        </w:rPr>
        <w:t xml:space="preserve"> </w:t>
      </w:r>
      <w:r w:rsidRPr="00EB754E">
        <w:t>part.</w:t>
      </w:r>
    </w:p>
    <w:p w14:paraId="4F3A5C2A" w14:textId="77777777" w:rsidR="00C73318" w:rsidRPr="00FA0E95" w:rsidRDefault="00C73318" w:rsidP="00EB754E">
      <w:pPr>
        <w:pStyle w:val="ListParagraph"/>
      </w:pPr>
    </w:p>
    <w:p w14:paraId="0CEEA2EF" w14:textId="77777777" w:rsidR="00DB4191" w:rsidRPr="00EB754E" w:rsidRDefault="00790792">
      <w:pPr>
        <w:pStyle w:val="ListParagraph"/>
        <w:numPr>
          <w:ilvl w:val="0"/>
          <w:numId w:val="1"/>
        </w:numPr>
        <w:tabs>
          <w:tab w:val="left" w:pos="821"/>
        </w:tabs>
        <w:ind w:right="357"/>
      </w:pPr>
      <w:r w:rsidRPr="00EB754E">
        <w:rPr>
          <w:i/>
        </w:rPr>
        <w:t xml:space="preserve">Exceptions: threshold requirements. </w:t>
      </w:r>
      <w:r w:rsidRPr="00EB754E">
        <w:t xml:space="preserve">Upon the written </w:t>
      </w:r>
      <w:r w:rsidR="00046A50" w:rsidRPr="00EB754E">
        <w:t>request of</w:t>
      </w:r>
      <w:r w:rsidRPr="00EB754E">
        <w:t xml:space="preserve"> the </w:t>
      </w:r>
      <w:r w:rsidR="00046A50" w:rsidRPr="00EB754E">
        <w:t xml:space="preserve">recipient, </w:t>
      </w:r>
      <w:r w:rsidR="00882FD1" w:rsidRPr="00EB754E">
        <w:t>HUD may</w:t>
      </w:r>
      <w:r w:rsidRPr="00EB754E">
        <w:t xml:space="preserve"> grant an exception to the provisions of paragraph (</w:t>
      </w:r>
      <w:r w:rsidR="00C73318" w:rsidRPr="00EB754E">
        <w:t>2</w:t>
      </w:r>
      <w:r w:rsidRPr="00EB754E">
        <w:t>) of this section on a case-by-case basis when it determines that such an exception will serve to further the purposes of the Act and the effective and efficient administration of the recipient's program or project. An exception may be considered only after the recipient has provided the</w:t>
      </w:r>
      <w:r w:rsidRPr="00EB754E">
        <w:rPr>
          <w:spacing w:val="-13"/>
        </w:rPr>
        <w:t xml:space="preserve"> </w:t>
      </w:r>
      <w:r w:rsidRPr="00EB754E">
        <w:t>following:</w:t>
      </w:r>
    </w:p>
    <w:p w14:paraId="39ED5EFA" w14:textId="77777777" w:rsidR="00DB4191" w:rsidRPr="00EB754E" w:rsidRDefault="00790792">
      <w:pPr>
        <w:pStyle w:val="ListParagraph"/>
        <w:numPr>
          <w:ilvl w:val="1"/>
          <w:numId w:val="1"/>
        </w:numPr>
        <w:tabs>
          <w:tab w:val="left" w:pos="1181"/>
        </w:tabs>
        <w:ind w:right="363"/>
      </w:pPr>
      <w:r w:rsidRPr="00EB754E">
        <w:t>A disclosure of the nature of the conflict, accompanied by an assurance that there has been public disclosure of the conflict and a description of how the public disclosure was made;</w:t>
      </w:r>
      <w:r w:rsidRPr="00EB754E">
        <w:rPr>
          <w:spacing w:val="-5"/>
        </w:rPr>
        <w:t xml:space="preserve"> </w:t>
      </w:r>
      <w:r w:rsidRPr="00EB754E">
        <w:t>and</w:t>
      </w:r>
    </w:p>
    <w:p w14:paraId="6261607B" w14:textId="77777777" w:rsidR="00DB4191" w:rsidRPr="00EB754E" w:rsidRDefault="00790792">
      <w:pPr>
        <w:pStyle w:val="ListParagraph"/>
        <w:numPr>
          <w:ilvl w:val="1"/>
          <w:numId w:val="1"/>
        </w:numPr>
        <w:tabs>
          <w:tab w:val="left" w:pos="1181"/>
        </w:tabs>
        <w:ind w:right="361"/>
      </w:pPr>
      <w:r w:rsidRPr="00EB754E">
        <w:t>An opinion of the recipient's attorney that the interest for which the exception is sought would not violate State or local</w:t>
      </w:r>
      <w:r w:rsidRPr="00EB754E">
        <w:rPr>
          <w:spacing w:val="-9"/>
        </w:rPr>
        <w:t xml:space="preserve"> </w:t>
      </w:r>
      <w:r w:rsidRPr="00EB754E">
        <w:t>law.</w:t>
      </w:r>
    </w:p>
    <w:p w14:paraId="4CBF2959" w14:textId="77777777" w:rsidR="004368B8" w:rsidRPr="00EB754E" w:rsidRDefault="004368B8" w:rsidP="00EB754E">
      <w:pPr>
        <w:pStyle w:val="ListParagraph"/>
        <w:tabs>
          <w:tab w:val="left" w:pos="1181"/>
        </w:tabs>
        <w:ind w:right="361" w:firstLine="0"/>
      </w:pPr>
    </w:p>
    <w:p w14:paraId="5CA20CED" w14:textId="77777777" w:rsidR="00DB4191" w:rsidRPr="00EB754E" w:rsidRDefault="00790792">
      <w:pPr>
        <w:pStyle w:val="ListParagraph"/>
        <w:numPr>
          <w:ilvl w:val="0"/>
          <w:numId w:val="1"/>
        </w:numPr>
        <w:tabs>
          <w:tab w:val="left" w:pos="821"/>
        </w:tabs>
        <w:ind w:right="361"/>
      </w:pPr>
      <w:r w:rsidRPr="00EB754E">
        <w:rPr>
          <w:i/>
        </w:rPr>
        <w:t xml:space="preserve">Factors to be considered for exceptions. </w:t>
      </w:r>
      <w:r w:rsidRPr="00EB754E">
        <w:rPr>
          <w:spacing w:val="-3"/>
        </w:rPr>
        <w:t xml:space="preserve">In </w:t>
      </w:r>
      <w:r w:rsidRPr="00EB754E">
        <w:t>determining whether to grant a requested exception after the recipient has satisfactorily met the requirements of paragraph (</w:t>
      </w:r>
      <w:r w:rsidR="00CF1687" w:rsidRPr="00EB754E">
        <w:t>4</w:t>
      </w:r>
      <w:r w:rsidRPr="00EB754E">
        <w:t>) of this section, HUD shall consider the cumulative effect of the following factors, where applicable:</w:t>
      </w:r>
    </w:p>
    <w:p w14:paraId="4FD6D8E2" w14:textId="77777777" w:rsidR="00DB4191" w:rsidRPr="00EB754E" w:rsidRDefault="00DB4191">
      <w:pPr>
        <w:jc w:val="both"/>
        <w:sectPr w:rsidR="00DB4191" w:rsidRPr="00EB754E" w:rsidSect="000E0A2F">
          <w:footerReference w:type="default" r:id="rId11"/>
          <w:type w:val="continuous"/>
          <w:pgSz w:w="12240" w:h="15840"/>
          <w:pgMar w:top="660" w:right="1080" w:bottom="1220" w:left="1340" w:header="720" w:footer="1440" w:gutter="0"/>
          <w:pgNumType w:start="1"/>
          <w:cols w:space="720"/>
          <w:docGrid w:linePitch="299"/>
        </w:sectPr>
      </w:pPr>
    </w:p>
    <w:p w14:paraId="004B2874" w14:textId="77777777" w:rsidR="00DB4191" w:rsidRPr="00EB754E" w:rsidRDefault="00790792">
      <w:pPr>
        <w:pStyle w:val="ListParagraph"/>
        <w:numPr>
          <w:ilvl w:val="1"/>
          <w:numId w:val="1"/>
        </w:numPr>
        <w:tabs>
          <w:tab w:val="left" w:pos="1181"/>
        </w:tabs>
        <w:spacing w:before="72"/>
        <w:ind w:right="124"/>
      </w:pPr>
      <w:r w:rsidRPr="00EB754E">
        <w:lastRenderedPageBreak/>
        <w:t>Whether the exception would provide a significant cost benefit or an essential degree of expertise to the program or project which would otherwise not be</w:t>
      </w:r>
      <w:r w:rsidRPr="00EB754E">
        <w:rPr>
          <w:spacing w:val="-10"/>
        </w:rPr>
        <w:t xml:space="preserve"> </w:t>
      </w:r>
      <w:proofErr w:type="gramStart"/>
      <w:r w:rsidRPr="00EB754E">
        <w:t>available;</w:t>
      </w:r>
      <w:proofErr w:type="gramEnd"/>
    </w:p>
    <w:p w14:paraId="5E5B8F27" w14:textId="77777777" w:rsidR="00DB4191" w:rsidRPr="00EB754E" w:rsidRDefault="00790792">
      <w:pPr>
        <w:pStyle w:val="ListParagraph"/>
        <w:numPr>
          <w:ilvl w:val="1"/>
          <w:numId w:val="1"/>
        </w:numPr>
        <w:tabs>
          <w:tab w:val="left" w:pos="1181"/>
        </w:tabs>
      </w:pPr>
      <w:r w:rsidRPr="00EB754E">
        <w:t>Whether an opportunity was provided for open competitive bidding or</w:t>
      </w:r>
      <w:r w:rsidRPr="00EB754E">
        <w:rPr>
          <w:spacing w:val="-12"/>
        </w:rPr>
        <w:t xml:space="preserve"> </w:t>
      </w:r>
      <w:proofErr w:type="gramStart"/>
      <w:r w:rsidRPr="00EB754E">
        <w:t>negotiation;</w:t>
      </w:r>
      <w:proofErr w:type="gramEnd"/>
    </w:p>
    <w:p w14:paraId="798FC107" w14:textId="77777777" w:rsidR="00DB4191" w:rsidRPr="00EB754E" w:rsidRDefault="00790792">
      <w:pPr>
        <w:pStyle w:val="ListParagraph"/>
        <w:numPr>
          <w:ilvl w:val="1"/>
          <w:numId w:val="1"/>
        </w:numPr>
        <w:tabs>
          <w:tab w:val="left" w:pos="1181"/>
        </w:tabs>
        <w:ind w:right="117"/>
      </w:pPr>
      <w:r w:rsidRPr="00EB754E">
        <w:t xml:space="preserve">Whether the person affected is a member of a group or class of low- or moderate- income persons intended to be the beneficiaries of the assisted activity, and the exception will permit such person to receive generally the same interests or </w:t>
      </w:r>
      <w:proofErr w:type="gramStart"/>
      <w:r w:rsidRPr="00EB754E">
        <w:t>benefits  as</w:t>
      </w:r>
      <w:proofErr w:type="gramEnd"/>
      <w:r w:rsidRPr="00EB754E">
        <w:t xml:space="preserve"> are being made available or provided to the group or</w:t>
      </w:r>
      <w:r w:rsidRPr="00EB754E">
        <w:rPr>
          <w:spacing w:val="-12"/>
        </w:rPr>
        <w:t xml:space="preserve"> </w:t>
      </w:r>
      <w:proofErr w:type="gramStart"/>
      <w:r w:rsidRPr="00EB754E">
        <w:t>class;</w:t>
      </w:r>
      <w:proofErr w:type="gramEnd"/>
    </w:p>
    <w:p w14:paraId="1AED2D6B" w14:textId="77777777" w:rsidR="00DB4191" w:rsidRPr="00EB754E" w:rsidRDefault="00790792">
      <w:pPr>
        <w:pStyle w:val="ListParagraph"/>
        <w:numPr>
          <w:ilvl w:val="1"/>
          <w:numId w:val="1"/>
        </w:numPr>
        <w:tabs>
          <w:tab w:val="left" w:pos="1181"/>
        </w:tabs>
        <w:ind w:right="116"/>
      </w:pPr>
      <w:r w:rsidRPr="00EB754E">
        <w:t xml:space="preserve">Whether the affected person has withdrawn from his or her functions or responsibilities, or the </w:t>
      </w:r>
      <w:r w:rsidR="00A2461A" w:rsidRPr="00EB754E">
        <w:t>decision-making</w:t>
      </w:r>
      <w:r w:rsidRPr="00EB754E">
        <w:t xml:space="preserve"> process with respect to the specific assisted activity in</w:t>
      </w:r>
      <w:r w:rsidRPr="00EB754E">
        <w:rPr>
          <w:spacing w:val="-5"/>
        </w:rPr>
        <w:t xml:space="preserve"> </w:t>
      </w:r>
      <w:proofErr w:type="gramStart"/>
      <w:r w:rsidRPr="00EB754E">
        <w:t>question;</w:t>
      </w:r>
      <w:proofErr w:type="gramEnd"/>
    </w:p>
    <w:p w14:paraId="17F42FB9" w14:textId="77777777" w:rsidR="00DB4191" w:rsidRPr="00EB754E" w:rsidRDefault="00790792">
      <w:pPr>
        <w:pStyle w:val="ListParagraph"/>
        <w:numPr>
          <w:ilvl w:val="1"/>
          <w:numId w:val="1"/>
        </w:numPr>
        <w:tabs>
          <w:tab w:val="left" w:pos="1181"/>
        </w:tabs>
        <w:ind w:right="125"/>
      </w:pPr>
      <w:r w:rsidRPr="00EB754E">
        <w:t>Whether the interest or benefit was present before the affected person was in a position as described in paragraph (</w:t>
      </w:r>
      <w:r w:rsidR="00457C89" w:rsidRPr="00EB754E">
        <w:t>3</w:t>
      </w:r>
      <w:r w:rsidRPr="00EB754E">
        <w:t>) of this</w:t>
      </w:r>
      <w:r w:rsidRPr="00EB754E">
        <w:rPr>
          <w:spacing w:val="-10"/>
        </w:rPr>
        <w:t xml:space="preserve"> </w:t>
      </w:r>
      <w:proofErr w:type="gramStart"/>
      <w:r w:rsidRPr="00EB754E">
        <w:t>section;</w:t>
      </w:r>
      <w:proofErr w:type="gramEnd"/>
    </w:p>
    <w:p w14:paraId="0DD79B7C" w14:textId="77777777" w:rsidR="00DB4191" w:rsidRPr="00EB754E" w:rsidRDefault="00790792">
      <w:pPr>
        <w:pStyle w:val="ListParagraph"/>
        <w:numPr>
          <w:ilvl w:val="1"/>
          <w:numId w:val="1"/>
        </w:numPr>
        <w:tabs>
          <w:tab w:val="left" w:pos="1181"/>
        </w:tabs>
        <w:ind w:right="125"/>
      </w:pPr>
      <w:r w:rsidRPr="00EB754E">
        <w:t>Whether undue hardship will result either to the recipient or the person affected when weighed against the public interest served by avoiding the prohibited conflict;</w:t>
      </w:r>
      <w:r w:rsidRPr="00EB754E">
        <w:rPr>
          <w:spacing w:val="-14"/>
        </w:rPr>
        <w:t xml:space="preserve"> </w:t>
      </w:r>
      <w:r w:rsidRPr="00EB754E">
        <w:t>and</w:t>
      </w:r>
    </w:p>
    <w:p w14:paraId="23749E45" w14:textId="77777777" w:rsidR="00DB4191" w:rsidRPr="00EB754E" w:rsidRDefault="00790792">
      <w:pPr>
        <w:pStyle w:val="ListParagraph"/>
        <w:numPr>
          <w:ilvl w:val="1"/>
          <w:numId w:val="1"/>
        </w:numPr>
        <w:tabs>
          <w:tab w:val="left" w:pos="1181"/>
        </w:tabs>
      </w:pPr>
      <w:r w:rsidRPr="00EB754E">
        <w:t>Any other relevant</w:t>
      </w:r>
      <w:r w:rsidRPr="00EB754E">
        <w:rPr>
          <w:spacing w:val="-8"/>
        </w:rPr>
        <w:t xml:space="preserve"> </w:t>
      </w:r>
      <w:r w:rsidRPr="00EB754E">
        <w:t>considerations.</w:t>
      </w:r>
    </w:p>
    <w:sectPr w:rsidR="00DB4191" w:rsidRPr="00EB754E">
      <w:footerReference w:type="default" r:id="rId12"/>
      <w:pgSz w:w="12240" w:h="15840"/>
      <w:pgMar w:top="1360" w:right="1320" w:bottom="1220" w:left="1340" w:header="0" w:footer="102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FB3D3" w14:textId="77777777" w:rsidR="009F08DF" w:rsidRDefault="009F08DF">
      <w:r>
        <w:separator/>
      </w:r>
    </w:p>
  </w:endnote>
  <w:endnote w:type="continuationSeparator" w:id="0">
    <w:p w14:paraId="5B62FAB6" w14:textId="77777777" w:rsidR="009F08DF" w:rsidRDefault="009F08DF">
      <w:r>
        <w:continuationSeparator/>
      </w:r>
    </w:p>
  </w:endnote>
  <w:endnote w:type="continuationNotice" w:id="1">
    <w:p w14:paraId="49B7D25F" w14:textId="77777777" w:rsidR="009F08DF" w:rsidRDefault="009F0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1C9DD" w14:textId="77777777" w:rsidR="00DB4191" w:rsidRDefault="00EB6474">
    <w:pPr>
      <w:pStyle w:val="BodyText"/>
      <w:spacing w:line="14" w:lineRule="auto"/>
      <w:ind w:left="0" w:firstLine="0"/>
      <w:jc w:val="left"/>
      <w:rPr>
        <w:sz w:val="20"/>
      </w:rPr>
    </w:pPr>
    <w:r>
      <w:rPr>
        <w:noProof/>
      </w:rPr>
      <mc:AlternateContent>
        <mc:Choice Requires="wps">
          <w:drawing>
            <wp:anchor distT="0" distB="0" distL="114300" distR="114300" simplePos="0" relativeHeight="251658241" behindDoc="1" locked="0" layoutInCell="1" allowOverlap="1" wp14:anchorId="52EA17EC" wp14:editId="79A499C3">
              <wp:simplePos x="0" y="0"/>
              <wp:positionH relativeFrom="page">
                <wp:posOffset>6396355</wp:posOffset>
              </wp:positionH>
              <wp:positionV relativeFrom="page">
                <wp:posOffset>9221470</wp:posOffset>
              </wp:positionV>
              <wp:extent cx="557530" cy="342265"/>
              <wp:effectExtent l="0" t="0" r="0" b="0"/>
              <wp:wrapNone/>
              <wp:docPr id="882513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53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E03F0" w14:textId="77777777" w:rsidR="00DB4191" w:rsidRPr="000E0A2F" w:rsidRDefault="001B03AC">
                          <w:pPr>
                            <w:spacing w:before="1"/>
                            <w:ind w:left="20"/>
                            <w:rPr>
                              <w:sz w:val="18"/>
                              <w:szCs w:val="18"/>
                            </w:rPr>
                          </w:pPr>
                          <w:r w:rsidRPr="000E0A2F">
                            <w:rPr>
                              <w:sz w:val="18"/>
                              <w:szCs w:val="18"/>
                            </w:rPr>
                            <w:t xml:space="preserve"> </w:t>
                          </w:r>
                          <w:r w:rsidR="00790792" w:rsidRPr="000E0A2F">
                            <w:rPr>
                              <w:sz w:val="18"/>
                              <w:szCs w:val="18"/>
                            </w:rPr>
                            <w:t xml:space="preserve">Version </w:t>
                          </w:r>
                          <w:r w:rsidR="000E0A2F" w:rsidRPr="000E0A2F">
                            <w:rPr>
                              <w:sz w:val="18"/>
                              <w:szCs w:val="18"/>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D283E" id="_x0000_t202" coordsize="21600,21600" o:spt="202" path="m,l,21600r21600,l21600,xe">
              <v:stroke joinstyle="miter"/>
              <v:path gradientshapeok="t" o:connecttype="rect"/>
            </v:shapetype>
            <v:shape id="Text Box 3" o:spid="_x0000_s1026" type="#_x0000_t202" style="position:absolute;margin-left:503.65pt;margin-top:726.1pt;width:43.9pt;height:26.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" filled="f" stroked="f">
              <v:path arrowok="t"/>
              <v:textbox inset="0,0,0,0">
                <w:txbxContent>
                  <w:p w14:paraId="2DED2843" w14:textId="6C2678E0" w:rsidR="00DB4191" w:rsidRPr="000E0A2F" w:rsidRDefault="001B03AC">
                    <w:pPr>
                      <w:spacing w:before="1"/>
                      <w:ind w:left="20"/>
                      <w:rPr>
                        <w:sz w:val="18"/>
                        <w:szCs w:val="18"/>
                      </w:rPr>
                    </w:pPr>
                    <w:r w:rsidRPr="000E0A2F">
                      <w:rPr>
                        <w:sz w:val="18"/>
                        <w:szCs w:val="18"/>
                      </w:rPr>
                      <w:t xml:space="preserve"> </w:t>
                    </w:r>
                    <w:r w:rsidR="00790792" w:rsidRPr="000E0A2F">
                      <w:rPr>
                        <w:sz w:val="18"/>
                        <w:szCs w:val="18"/>
                      </w:rPr>
                      <w:t xml:space="preserve">Version </w:t>
                    </w:r>
                    <w:r w:rsidR="000E0A2F" w:rsidRPr="000E0A2F">
                      <w:rPr>
                        <w:sz w:val="18"/>
                        <w:szCs w:val="18"/>
                      </w:rPr>
                      <w:t>5</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3AABD6A9" wp14:editId="6D56DECB">
              <wp:simplePos x="0" y="0"/>
              <wp:positionH relativeFrom="page">
                <wp:posOffset>901700</wp:posOffset>
              </wp:positionH>
              <wp:positionV relativeFrom="page">
                <wp:posOffset>9269730</wp:posOffset>
              </wp:positionV>
              <wp:extent cx="813435" cy="226695"/>
              <wp:effectExtent l="0" t="0" r="0" b="0"/>
              <wp:wrapNone/>
              <wp:docPr id="767247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3435" cy="226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EB21C" w14:textId="77777777" w:rsidR="00DB4191" w:rsidRDefault="000E0A2F">
                          <w:pPr>
                            <w:spacing w:before="11"/>
                            <w:ind w:left="20"/>
                          </w:pPr>
                          <w:r>
                            <w:rPr>
                              <w:sz w:val="18"/>
                              <w:szCs w:val="18"/>
                            </w:rPr>
                            <w:t xml:space="preserve">May </w:t>
                          </w:r>
                          <w:r w:rsidR="00790792" w:rsidRPr="000E0A2F">
                            <w:rPr>
                              <w:sz w:val="18"/>
                              <w:szCs w:val="18"/>
                            </w:rPr>
                            <w:t>20</w:t>
                          </w:r>
                          <w:r w:rsidR="0011363B" w:rsidRPr="000E0A2F">
                            <w:rPr>
                              <w:sz w:val="18"/>
                              <w:szCs w:val="18"/>
                            </w:rPr>
                            <w:t>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D283D" id="Text Box 4" o:spid="_x0000_s1027" type="#_x0000_t202" style="position:absolute;margin-left:71pt;margin-top:729.9pt;width:64.05pt;height:17.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" filled="f" stroked="f">
              <v:path arrowok="t"/>
              <v:textbox inset="0,0,0,0">
                <w:txbxContent>
                  <w:p w14:paraId="2DED2841" w14:textId="13BDC439" w:rsidR="00DB4191" w:rsidRDefault="000E0A2F">
                    <w:pPr>
                      <w:spacing w:before="11"/>
                      <w:ind w:left="20"/>
                    </w:pPr>
                    <w:r>
                      <w:rPr>
                        <w:sz w:val="18"/>
                        <w:szCs w:val="18"/>
                      </w:rPr>
                      <w:t xml:space="preserve">May </w:t>
                    </w:r>
                    <w:r w:rsidR="00790792" w:rsidRPr="000E0A2F">
                      <w:rPr>
                        <w:sz w:val="18"/>
                        <w:szCs w:val="18"/>
                      </w:rPr>
                      <w:t>20</w:t>
                    </w:r>
                    <w:r w:rsidR="0011363B" w:rsidRPr="000E0A2F">
                      <w:rPr>
                        <w:sz w:val="18"/>
                        <w:szCs w:val="18"/>
                      </w:rPr>
                      <w:t>25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F21B7" w14:textId="77777777" w:rsidR="000301A3" w:rsidRPr="008A00C5" w:rsidRDefault="000301A3" w:rsidP="000301A3">
    <w:pPr>
      <w:pStyle w:val="Footer"/>
      <w:rPr>
        <w:sz w:val="18"/>
        <w:szCs w:val="18"/>
      </w:rPr>
    </w:pPr>
    <w:r w:rsidRPr="008A00C5">
      <w:rPr>
        <w:sz w:val="18"/>
        <w:szCs w:val="18"/>
      </w:rPr>
      <w:t>May 2025</w:t>
    </w:r>
    <w:r w:rsidRPr="008A00C5">
      <w:rPr>
        <w:sz w:val="18"/>
        <w:szCs w:val="18"/>
      </w:rPr>
      <w:tab/>
    </w:r>
    <w:r w:rsidRPr="008A00C5">
      <w:rPr>
        <w:sz w:val="18"/>
        <w:szCs w:val="18"/>
      </w:rPr>
      <w:tab/>
      <w:t>Version 5</w:t>
    </w:r>
  </w:p>
  <w:p w14:paraId="01AD3A2F" w14:textId="77777777" w:rsidR="000301A3" w:rsidRPr="00554AEB" w:rsidRDefault="000301A3" w:rsidP="000301A3">
    <w:pPr>
      <w:pStyle w:val="Footer"/>
    </w:pPr>
  </w:p>
  <w:p w14:paraId="6D9DC23C" w14:textId="77777777" w:rsidR="00DB4191" w:rsidRDefault="00DB4191">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6B69B" w14:textId="77777777" w:rsidR="009F08DF" w:rsidRDefault="009F08DF">
      <w:r>
        <w:separator/>
      </w:r>
    </w:p>
  </w:footnote>
  <w:footnote w:type="continuationSeparator" w:id="0">
    <w:p w14:paraId="524C5658" w14:textId="77777777" w:rsidR="009F08DF" w:rsidRDefault="009F08DF">
      <w:r>
        <w:continuationSeparator/>
      </w:r>
    </w:p>
  </w:footnote>
  <w:footnote w:type="continuationNotice" w:id="1">
    <w:p w14:paraId="7402E644" w14:textId="77777777" w:rsidR="009F08DF" w:rsidRDefault="009F08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292F82"/>
    <w:multiLevelType w:val="hybridMultilevel"/>
    <w:tmpl w:val="865A9C06"/>
    <w:lvl w:ilvl="0" w:tplc="04090011">
      <w:start w:val="1"/>
      <w:numFmt w:val="decimal"/>
      <w:lvlText w:val="%1)"/>
      <w:lvlJc w:val="left"/>
      <w:pPr>
        <w:ind w:left="820" w:hanging="360"/>
      </w:pPr>
      <w:rPr>
        <w:rFonts w:hint="default"/>
        <w:spacing w:val="-6"/>
        <w:w w:val="99"/>
        <w:sz w:val="24"/>
        <w:szCs w:val="24"/>
      </w:rPr>
    </w:lvl>
    <w:lvl w:ilvl="1" w:tplc="0409001B">
      <w:start w:val="1"/>
      <w:numFmt w:val="lowerRoman"/>
      <w:lvlText w:val="%2."/>
      <w:lvlJc w:val="right"/>
      <w:pPr>
        <w:ind w:left="1180" w:hanging="360"/>
      </w:pPr>
    </w:lvl>
    <w:lvl w:ilvl="2" w:tplc="83BC31F2">
      <w:numFmt w:val="bullet"/>
      <w:lvlText w:val="•"/>
      <w:lvlJc w:val="left"/>
      <w:pPr>
        <w:ind w:left="2113" w:hanging="360"/>
      </w:pPr>
      <w:rPr>
        <w:rFonts w:hint="default"/>
      </w:rPr>
    </w:lvl>
    <w:lvl w:ilvl="3" w:tplc="8EFE151C">
      <w:numFmt w:val="bullet"/>
      <w:lvlText w:val="•"/>
      <w:lvlJc w:val="left"/>
      <w:pPr>
        <w:ind w:left="3046" w:hanging="360"/>
      </w:pPr>
      <w:rPr>
        <w:rFonts w:hint="default"/>
      </w:rPr>
    </w:lvl>
    <w:lvl w:ilvl="4" w:tplc="4BC2E2CE">
      <w:numFmt w:val="bullet"/>
      <w:lvlText w:val="•"/>
      <w:lvlJc w:val="left"/>
      <w:pPr>
        <w:ind w:left="3980" w:hanging="360"/>
      </w:pPr>
      <w:rPr>
        <w:rFonts w:hint="default"/>
      </w:rPr>
    </w:lvl>
    <w:lvl w:ilvl="5" w:tplc="8C2E48BE">
      <w:numFmt w:val="bullet"/>
      <w:lvlText w:val="•"/>
      <w:lvlJc w:val="left"/>
      <w:pPr>
        <w:ind w:left="4913" w:hanging="360"/>
      </w:pPr>
      <w:rPr>
        <w:rFonts w:hint="default"/>
      </w:rPr>
    </w:lvl>
    <w:lvl w:ilvl="6" w:tplc="08528DBA">
      <w:numFmt w:val="bullet"/>
      <w:lvlText w:val="•"/>
      <w:lvlJc w:val="left"/>
      <w:pPr>
        <w:ind w:left="5846" w:hanging="360"/>
      </w:pPr>
      <w:rPr>
        <w:rFonts w:hint="default"/>
      </w:rPr>
    </w:lvl>
    <w:lvl w:ilvl="7" w:tplc="B1F24464">
      <w:numFmt w:val="bullet"/>
      <w:lvlText w:val="•"/>
      <w:lvlJc w:val="left"/>
      <w:pPr>
        <w:ind w:left="6780" w:hanging="360"/>
      </w:pPr>
      <w:rPr>
        <w:rFonts w:hint="default"/>
      </w:rPr>
    </w:lvl>
    <w:lvl w:ilvl="8" w:tplc="089204AA">
      <w:numFmt w:val="bullet"/>
      <w:lvlText w:val="•"/>
      <w:lvlJc w:val="left"/>
      <w:pPr>
        <w:ind w:left="7713" w:hanging="360"/>
      </w:pPr>
      <w:rPr>
        <w:rFonts w:hint="default"/>
      </w:rPr>
    </w:lvl>
  </w:abstractNum>
  <w:num w:numId="1" w16cid:durableId="181668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191"/>
    <w:rsid w:val="000130A3"/>
    <w:rsid w:val="00023249"/>
    <w:rsid w:val="000301A3"/>
    <w:rsid w:val="00046A50"/>
    <w:rsid w:val="000475E7"/>
    <w:rsid w:val="00090092"/>
    <w:rsid w:val="00095FAD"/>
    <w:rsid w:val="000A4D3D"/>
    <w:rsid w:val="000E0A2F"/>
    <w:rsid w:val="0011363B"/>
    <w:rsid w:val="001B03AC"/>
    <w:rsid w:val="002573E4"/>
    <w:rsid w:val="003145D5"/>
    <w:rsid w:val="00322C3F"/>
    <w:rsid w:val="004165A8"/>
    <w:rsid w:val="00417B17"/>
    <w:rsid w:val="004368B8"/>
    <w:rsid w:val="0044394F"/>
    <w:rsid w:val="00457C89"/>
    <w:rsid w:val="004A02C3"/>
    <w:rsid w:val="004D767A"/>
    <w:rsid w:val="004E1D12"/>
    <w:rsid w:val="00513D0D"/>
    <w:rsid w:val="0052045A"/>
    <w:rsid w:val="00565AA4"/>
    <w:rsid w:val="00583A54"/>
    <w:rsid w:val="005A7969"/>
    <w:rsid w:val="005B00B3"/>
    <w:rsid w:val="005C4AF4"/>
    <w:rsid w:val="00611B0E"/>
    <w:rsid w:val="00634B4D"/>
    <w:rsid w:val="0068078A"/>
    <w:rsid w:val="0072241E"/>
    <w:rsid w:val="007261E0"/>
    <w:rsid w:val="00790792"/>
    <w:rsid w:val="007C16A8"/>
    <w:rsid w:val="007C3264"/>
    <w:rsid w:val="0081744C"/>
    <w:rsid w:val="00832F54"/>
    <w:rsid w:val="00882FD1"/>
    <w:rsid w:val="008F0327"/>
    <w:rsid w:val="009429E9"/>
    <w:rsid w:val="00951E20"/>
    <w:rsid w:val="00961383"/>
    <w:rsid w:val="009F08DF"/>
    <w:rsid w:val="009F1E8E"/>
    <w:rsid w:val="00A2461A"/>
    <w:rsid w:val="00A253E4"/>
    <w:rsid w:val="00A266A2"/>
    <w:rsid w:val="00A3324E"/>
    <w:rsid w:val="00B3488C"/>
    <w:rsid w:val="00BD4832"/>
    <w:rsid w:val="00C608DC"/>
    <w:rsid w:val="00C73318"/>
    <w:rsid w:val="00CA3ED4"/>
    <w:rsid w:val="00CD15E3"/>
    <w:rsid w:val="00CF1687"/>
    <w:rsid w:val="00CF74B0"/>
    <w:rsid w:val="00D268FA"/>
    <w:rsid w:val="00D66B16"/>
    <w:rsid w:val="00D67110"/>
    <w:rsid w:val="00D7419A"/>
    <w:rsid w:val="00DB4191"/>
    <w:rsid w:val="00DC7FDA"/>
    <w:rsid w:val="00DD2CAB"/>
    <w:rsid w:val="00DD6E17"/>
    <w:rsid w:val="00DE318B"/>
    <w:rsid w:val="00EA49FA"/>
    <w:rsid w:val="00EB6474"/>
    <w:rsid w:val="00EB754E"/>
    <w:rsid w:val="00F02CA6"/>
    <w:rsid w:val="00F25AD1"/>
    <w:rsid w:val="00F6029A"/>
    <w:rsid w:val="00FA0E95"/>
    <w:rsid w:val="0FFF29F3"/>
    <w:rsid w:val="346F4E27"/>
    <w:rsid w:val="7805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545FC"/>
  <w15:docId w15:val="{D53B7BA6-5FFF-425D-8C5B-9B40A4A9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jc w:val="both"/>
    </w:pPr>
    <w:rPr>
      <w:sz w:val="24"/>
      <w:szCs w:val="24"/>
    </w:rPr>
  </w:style>
  <w:style w:type="paragraph" w:styleId="ListParagraph">
    <w:name w:val="List Paragraph"/>
    <w:basedOn w:val="Normal"/>
    <w:uiPriority w:val="1"/>
    <w:qFormat/>
    <w:pPr>
      <w:ind w:left="1180" w:hanging="360"/>
      <w:jc w:val="both"/>
    </w:pPr>
  </w:style>
  <w:style w:type="paragraph" w:customStyle="1" w:styleId="TableParagraph">
    <w:name w:val="Table Paragraph"/>
    <w:basedOn w:val="Normal"/>
    <w:uiPriority w:val="1"/>
    <w:qFormat/>
  </w:style>
  <w:style w:type="paragraph" w:styleId="Revision">
    <w:name w:val="Revision"/>
    <w:hidden/>
    <w:uiPriority w:val="99"/>
    <w:semiHidden/>
    <w:rsid w:val="005A7969"/>
    <w:pPr>
      <w:widowControl/>
      <w:autoSpaceDE/>
      <w:autoSpaceDN/>
    </w:pPr>
    <w:rPr>
      <w:rFonts w:ascii="Times New Roman" w:eastAsia="Times New Roman" w:hAnsi="Times New Roman" w:cs="Times New Roman"/>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165A8"/>
    <w:pPr>
      <w:tabs>
        <w:tab w:val="center" w:pos="4680"/>
        <w:tab w:val="right" w:pos="9360"/>
      </w:tabs>
    </w:pPr>
  </w:style>
  <w:style w:type="character" w:customStyle="1" w:styleId="HeaderChar">
    <w:name w:val="Header Char"/>
    <w:basedOn w:val="DefaultParagraphFont"/>
    <w:link w:val="Header"/>
    <w:uiPriority w:val="99"/>
    <w:rsid w:val="004165A8"/>
    <w:rPr>
      <w:rFonts w:ascii="Times New Roman" w:eastAsia="Times New Roman" w:hAnsi="Times New Roman" w:cs="Times New Roman"/>
    </w:rPr>
  </w:style>
  <w:style w:type="paragraph" w:styleId="Footer">
    <w:name w:val="footer"/>
    <w:basedOn w:val="Normal"/>
    <w:link w:val="FooterChar"/>
    <w:unhideWhenUsed/>
    <w:rsid w:val="004165A8"/>
    <w:pPr>
      <w:tabs>
        <w:tab w:val="center" w:pos="4680"/>
        <w:tab w:val="right" w:pos="9360"/>
      </w:tabs>
    </w:pPr>
  </w:style>
  <w:style w:type="character" w:customStyle="1" w:styleId="FooterChar">
    <w:name w:val="Footer Char"/>
    <w:basedOn w:val="DefaultParagraphFont"/>
    <w:link w:val="Footer"/>
    <w:rsid w:val="004165A8"/>
    <w:rPr>
      <w:rFonts w:ascii="Times New Roman" w:eastAsia="Times New Roman" w:hAnsi="Times New Roman" w:cs="Times New Roman"/>
    </w:rPr>
  </w:style>
  <w:style w:type="character" w:styleId="Hyperlink">
    <w:name w:val="Hyperlink"/>
    <w:basedOn w:val="DefaultParagraphFont"/>
    <w:uiPriority w:val="99"/>
    <w:unhideWhenUsed/>
    <w:rsid w:val="00513D0D"/>
    <w:rPr>
      <w:color w:val="0000FF" w:themeColor="hyperlink"/>
      <w:u w:val="single"/>
    </w:rPr>
  </w:style>
  <w:style w:type="character" w:styleId="UnresolvedMention">
    <w:name w:val="Unresolved Mention"/>
    <w:basedOn w:val="DefaultParagraphFont"/>
    <w:uiPriority w:val="99"/>
    <w:semiHidden/>
    <w:unhideWhenUsed/>
    <w:rsid w:val="00513D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A4D3D"/>
    <w:rPr>
      <w:b/>
      <w:bCs/>
    </w:rPr>
  </w:style>
  <w:style w:type="character" w:customStyle="1" w:styleId="CommentSubjectChar">
    <w:name w:val="Comment Subject Char"/>
    <w:basedOn w:val="CommentTextChar"/>
    <w:link w:val="CommentSubject"/>
    <w:uiPriority w:val="99"/>
    <w:semiHidden/>
    <w:rsid w:val="000A4D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s://www.ecfr.gov/current/title-2/subtitle-A/chapter-II/part-200/subpart-D/subject-group-ECFR45ddd4419ad436d/section-200.3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5e5819-97ec-4bc2-81dc-ed3b6d97d97a">
      <Value>27</Value>
      <Value>68</Value>
      <Value>19</Value>
      <Value>12</Value>
      <Value>49</Value>
    </TaxCatchAll>
    <kc63da8f4bcb4afd8af26795a526dd62 xmlns="175e5819-97ec-4bc2-81dc-ed3b6d97d97a">
      <Terms xmlns="http://schemas.microsoft.com/office/infopath/2007/PartnerControls"/>
    </kc63da8f4bcb4afd8af26795a526dd62>
    <p75de47c2fdc460e8dc2d5275ae982a4 xmlns="175e5819-97ec-4bc2-81dc-ed3b6d97d97a">
      <Terms xmlns="http://schemas.microsoft.com/office/infopath/2007/PartnerControls">
        <TermInfo xmlns="http://schemas.microsoft.com/office/infopath/2007/PartnerControls">
          <TermName xmlns="http://schemas.microsoft.com/office/infopath/2007/PartnerControls">All</TermName>
          <TermId xmlns="http://schemas.microsoft.com/office/infopath/2007/PartnerControls">edcb62e5-8053-4726-8424-95caf6aa462f</TermId>
        </TermInfo>
      </Terms>
    </p75de47c2fdc460e8dc2d5275ae982a4>
    <ld200519182d43ec851d8b2fdfc5cb85 xmlns="175e5819-97ec-4bc2-81dc-ed3b6d97d97a">
      <Terms xmlns="http://schemas.microsoft.com/office/infopath/2007/PartnerControls">
        <TermInfo xmlns="http://schemas.microsoft.com/office/infopath/2007/PartnerControls">
          <TermName xmlns="http://schemas.microsoft.com/office/infopath/2007/PartnerControls">Compliance</TermName>
          <TermId xmlns="http://schemas.microsoft.com/office/infopath/2007/PartnerControls">71ba37d3-af14-46ad-9b78-83f5a8cb9dd4</TermId>
        </TermInfo>
      </Terms>
    </ld200519182d43ec851d8b2fdfc5cb85>
    <jdbc238666dc4dada6bd842adb02f215 xmlns="175e5819-97ec-4bc2-81dc-ed3b6d97d97a">
      <Terms xmlns="http://schemas.microsoft.com/office/infopath/2007/PartnerControls"/>
    </jdbc238666dc4dada6bd842adb02f215>
    <nf05976979164840af0fbff3f806878f xmlns="175e5819-97ec-4bc2-81dc-ed3b6d97d97a">
      <Terms xmlns="http://schemas.microsoft.com/office/infopath/2007/PartnerControls">
        <TermInfo xmlns="http://schemas.microsoft.com/office/infopath/2007/PartnerControls">
          <TermName xmlns="http://schemas.microsoft.com/office/infopath/2007/PartnerControls">Manuals</TermName>
          <TermId xmlns="http://schemas.microsoft.com/office/infopath/2007/PartnerControls">47cd676e-de80-4025-bc10-d455e22351a2</TermId>
        </TermInfo>
      </Terms>
    </nf05976979164840af0fbff3f806878f>
    <pdb62b2f64304310b2fe99e673485a18 xmlns="175e5819-97ec-4bc2-81dc-ed3b6d97d97a">
      <Terms xmlns="http://schemas.microsoft.com/office/infopath/2007/PartnerControls">
        <TermInfo xmlns="http://schemas.microsoft.com/office/infopath/2007/PartnerControls">
          <TermName xmlns="http://schemas.microsoft.com/office/infopath/2007/PartnerControls">Mitigation</TermName>
          <TermId xmlns="http://schemas.microsoft.com/office/infopath/2007/PartnerControls">922a0b6a-2c18-4cba-95c8-d109d66b9eca</TermId>
        </TermInfo>
        <TermInfo xmlns="http://schemas.microsoft.com/office/infopath/2007/PartnerControls">
          <TermName xmlns="http://schemas.microsoft.com/office/infopath/2007/PartnerControls"> Recovery</TermName>
          <TermId xmlns="http://schemas.microsoft.com/office/infopath/2007/PartnerControls">e5d204ba-6285-468b-b9e7-f6c3aefc190f</TermId>
        </TermInfo>
      </Terms>
    </pdb62b2f64304310b2fe99e673485a18>
    <_dlc_DocIdPersistId xmlns="175e5819-97ec-4bc2-81dc-ed3b6d97d97a" xsi:nil="true"/>
    <_dlc_DocId xmlns="175e5819-97ec-4bc2-81dc-ed3b6d97d97a">AWS654NDWC4M-233607049-61329</_dlc_DocId>
    <_dlc_DocIdUrl xmlns="175e5819-97ec-4bc2-81dc-ed3b6d97d97a">
      <Url>https://intranet.la.gov/doa/ocd/compliance/_layouts/15/DocIdRedir.aspx?ID=AWS654NDWC4M-233607049-61329</Url>
      <Description>AWS654NDWC4M-233607049-61329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s" ma:contentTypeID="0x010100C4FBBD6A6557474985E4C13123AF015900C0FD2B92AFBBF649AFFF32E57BD77A67" ma:contentTypeVersion="39" ma:contentTypeDescription="" ma:contentTypeScope="" ma:versionID="8dfac80dcb3306ec1e424aab90f3f859">
  <xsd:schema xmlns:xsd="http://www.w3.org/2001/XMLSchema" xmlns:xs="http://www.w3.org/2001/XMLSchema" xmlns:p="http://schemas.microsoft.com/office/2006/metadata/properties" xmlns:ns2="175e5819-97ec-4bc2-81dc-ed3b6d97d97a" targetNamespace="http://schemas.microsoft.com/office/2006/metadata/properties" ma:root="true" ma:fieldsID="d1b0d7dcd8ef7ac45523320459aefd83" ns2:_="">
    <xsd:import namespace="175e5819-97ec-4bc2-81dc-ed3b6d97d97a"/>
    <xsd:element name="properties">
      <xsd:complexType>
        <xsd:sequence>
          <xsd:element name="documentManagement">
            <xsd:complexType>
              <xsd:all>
                <xsd:element ref="ns2:ld200519182d43ec851d8b2fdfc5cb85" minOccurs="0"/>
                <xsd:element ref="ns2:_dlc_DocIdUrl" minOccurs="0"/>
                <xsd:element ref="ns2:nf05976979164840af0fbff3f806878f" minOccurs="0"/>
                <xsd:element ref="ns2:TaxCatchAll" minOccurs="0"/>
                <xsd:element ref="ns2:p75de47c2fdc460e8dc2d5275ae982a4" minOccurs="0"/>
                <xsd:element ref="ns2:pdb62b2f64304310b2fe99e673485a18" minOccurs="0"/>
                <xsd:element ref="ns2:_dlc_DocId" minOccurs="0"/>
                <xsd:element ref="ns2:kc63da8f4bcb4afd8af26795a526dd62" minOccurs="0"/>
                <xsd:element ref="ns2:_dlc_DocIdPersistId" minOccurs="0"/>
                <xsd:element ref="ns2:jdbc238666dc4dada6bd842adb02f215" minOccurs="0"/>
                <xsd:element ref="ns2:TaxCatchAllLabe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e5819-97ec-4bc2-81dc-ed3b6d97d97a" elementFormDefault="qualified">
    <xsd:import namespace="http://schemas.microsoft.com/office/2006/documentManagement/types"/>
    <xsd:import namespace="http://schemas.microsoft.com/office/infopath/2007/PartnerControls"/>
    <xsd:element name="ld200519182d43ec851d8b2fdfc5cb85" ma:index="13" ma:taxonomy="true" ma:internalName="ld200519182d43ec851d8b2fdfc5cb85" ma:taxonomyFieldName="OCD_Department" ma:displayName="Department" ma:readOnly="false" ma:default="49;#Compliance|71ba37d3-af14-46ad-9b78-83f5a8cb9dd4" ma:fieldId="{5d200519-182d-43ec-851d-8b2fdfc5cb85}" ma:taxonomyMulti="true" ma:sspId="77cd2084-55fc-481d-9a11-400122df2b61" ma:termSetId="a1950692-ea3d-4cd1-bbb2-f9d4c70c7e9e" ma:anchorId="00000000-0000-0000-0000-000000000000" ma:open="false" ma:isKeyword="false">
      <xsd:complexType>
        <xsd:sequence>
          <xsd:element ref="pc:Terms" minOccurs="0" maxOccurs="1"/>
        </xsd:sequence>
      </xsd:complex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nf05976979164840af0fbff3f806878f" ma:index="15" ma:taxonomy="true" ma:internalName="nf05976979164840af0fbff3f806878f" ma:taxonomyFieldName="OCD_DocType" ma:displayName="Doc Type" ma:readOnly="false" ma:default="" ma:fieldId="{7f059769-7916-4840-af0f-bff3f806878f}" ma:taxonomyMulti="true" ma:sspId="77cd2084-55fc-481d-9a11-400122df2b61" ma:termSetId="f3c66a0c-974b-4d4f-a0c1-6555c4c698f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00b7f74f-8e4a-45e8-9f99-a125caae9f8c}" ma:internalName="TaxCatchAll" ma:readOnly="false" ma:showField="CatchAllData"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p75de47c2fdc460e8dc2d5275ae982a4" ma:index="17" ma:taxonomy="true" ma:internalName="p75de47c2fdc460e8dc2d5275ae982a4" ma:taxonomyFieldName="OCD_Event" ma:displayName="Event/Disaster" ma:readOnly="false" ma:default="" ma:fieldId="{975de47c-2fdc-460e-8dc2-d5275ae982a4}" ma:taxonomyMulti="true" ma:sspId="77cd2084-55fc-481d-9a11-400122df2b61" ma:termSetId="7dbf1e08-0391-46df-b1c6-0209887d1d56" ma:anchorId="00000000-0000-0000-0000-000000000000" ma:open="false" ma:isKeyword="false">
      <xsd:complexType>
        <xsd:sequence>
          <xsd:element ref="pc:Terms" minOccurs="0" maxOccurs="1"/>
        </xsd:sequence>
      </xsd:complexType>
    </xsd:element>
    <xsd:element name="pdb62b2f64304310b2fe99e673485a18" ma:index="19" nillable="true" ma:taxonomy="true" ma:internalName="pdb62b2f64304310b2fe99e673485a18" ma:taxonomyFieldName="OCD_FundingSource" ma:displayName="Funding Source" ma:readOnly="false" ma:default="" ma:fieldId="{9db62b2f-6430-4310-b2fe-99e673485a18}" ma:taxonomyMulti="true" ma:sspId="77cd2084-55fc-481d-9a11-400122df2b61" ma:termSetId="eed6276d-3f2e-4897-9b6c-28fc13633988" ma:anchorId="00000000-0000-0000-0000-000000000000" ma:open="false" ma:isKeyword="fals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kc63da8f4bcb4afd8af26795a526dd62" ma:index="21" nillable="true" ma:taxonomy="true" ma:internalName="kc63da8f4bcb4afd8af26795a526dd62" ma:taxonomyFieldName="OCD_ProgramAdministrator" ma:displayName="Program Administrator" ma:default="" ma:fieldId="{4c63da8f-4bcb-4afd-8af2-6795a526dd62}" ma:taxonomyMulti="true" ma:sspId="77cd2084-55fc-481d-9a11-400122df2b61" ma:termSetId="6cd23144-5cfe-4042-8fca-4dca0f001ee4" ma:anchorId="00000000-0000-0000-0000-000000000000" ma:open="false" ma:isKeyword="false">
      <xsd:complexType>
        <xsd:sequence>
          <xsd:element ref="pc:Terms" minOccurs="0" maxOccurs="1"/>
        </xsd:sequence>
      </xsd:complexType>
    </xsd:element>
    <xsd:element name="_dlc_DocIdPersistId" ma:index="22" nillable="true" ma:displayName="Persist ID" ma:description="Keep ID on add." ma:hidden="true" ma:internalName="_dlc_DocIdPersistId" ma:readOnly="false">
      <xsd:simpleType>
        <xsd:restriction base="dms:Boolean"/>
      </xsd:simpleType>
    </xsd:element>
    <xsd:element name="jdbc238666dc4dada6bd842adb02f215" ma:index="23" nillable="true" ma:taxonomy="true" ma:internalName="jdbc238666dc4dada6bd842adb02f215" ma:taxonomyFieldName="OCD_Reoccurence" ma:displayName="Reoccurrence" ma:default="" ma:fieldId="{3dbc2386-66dc-4dad-a6bd-842adb02f215}" ma:sspId="77cd2084-55fc-481d-9a11-400122df2b61" ma:termSetId="be42debb-45e6-4cb2-8594-2afdd62be49d"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00b7f74f-8e4a-45e8-9f99-a125caae9f8c}" ma:internalName="TaxCatchAllLabel" ma:readOnly="true" ma:showField="CatchAllDataLabel" ma:web="175e5819-97ec-4bc2-81dc-ed3b6d97d97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49B9FCF3-1EEB-4C94-BC61-F78FCD57E403}">
  <ds:schemaRefs>
    <ds:schemaRef ds:uri="http://schemas.microsoft.com/office/2006/metadata/properties"/>
    <ds:schemaRef ds:uri="http://schemas.microsoft.com/office/infopath/2007/PartnerControls"/>
    <ds:schemaRef ds:uri="1f6c0fef-740e-4428-b9c4-a20e1688d68c"/>
    <ds:schemaRef ds:uri="73241f03-ea23-452d-92d3-65ea727160bb"/>
    <ds:schemaRef ds:uri="http://schemas.microsoft.com/sharepoint/v3"/>
  </ds:schemaRefs>
</ds:datastoreItem>
</file>

<file path=customXml/itemProps2.xml><?xml version="1.0" encoding="utf-8"?>
<ds:datastoreItem xmlns:ds="http://schemas.openxmlformats.org/officeDocument/2006/customXml" ds:itemID="{CC43CB00-E9B7-4D79-9CF1-2EAC19EB0B03}"/>
</file>

<file path=customXml/itemProps3.xml><?xml version="1.0" encoding="utf-8"?>
<ds:datastoreItem xmlns:ds="http://schemas.openxmlformats.org/officeDocument/2006/customXml" ds:itemID="{985F6D10-03F5-40E2-B137-2E153C88EDE3}"/>
</file>

<file path=customXml/itemProps4.xml><?xml version="1.0" encoding="utf-8"?>
<ds:datastoreItem xmlns:ds="http://schemas.openxmlformats.org/officeDocument/2006/customXml" ds:itemID="{D1FE6B55-088D-460A-8969-0CEDE6AAFC77}"/>
</file>

<file path=docProps/app.xml><?xml version="1.0" encoding="utf-8"?>
<Properties xmlns="http://schemas.openxmlformats.org/officeDocument/2006/extended-properties" xmlns:vt="http://schemas.openxmlformats.org/officeDocument/2006/docPropsVTypes">
  <Template>Normal.dotm</Template>
  <TotalTime>49</TotalTime>
  <Pages>2</Pages>
  <Words>651</Words>
  <Characters>3575</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CFR § 570.489(h) CONFLICT OF INTEREST</dc:title>
  <dc:subject>4-3</dc:subject>
  <dc:creator>State of Louisiana</dc:creator>
  <cp:keywords/>
  <dc:description/>
  <cp:lastModifiedBy>Faucher, Elizabeth</cp:lastModifiedBy>
  <cp:revision>23</cp:revision>
  <dcterms:created xsi:type="dcterms:W3CDTF">2025-05-06T04:07:00Z</dcterms:created>
  <dcterms:modified xsi:type="dcterms:W3CDTF">2025-07-16T19:48:00Z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2016-08-30T10:00:00Z</vt:filetime>
  </property>
  <property fmtid="{D5CDD505-2E9C-101B-9397-08002B2CF9AE}" pid="3" name="Creator">
    <vt:lpwstr>Microsoft® Word 2013</vt:lpwstr>
  </property>
  <property fmtid="{D5CDD505-2E9C-101B-9397-08002B2CF9AE}" pid="4" name="LastSaved">
    <vt:filetime>2024-12-11T10:00:00Z</vt:filetime>
  </property>
  <property fmtid="{D5CDD505-2E9C-101B-9397-08002B2CF9AE}" pid="5" name="ContentTypeId">
    <vt:lpwstr>0x010100C4FBBD6A6557474985E4C13123AF015900C0FD2B92AFBBF649AFFF32E57BD77A67</vt:lpwstr>
  </property>
  <property fmtid="{D5CDD505-2E9C-101B-9397-08002B2CF9AE}" pid="6" name="MediaServiceImageTags">
    <vt:lpwstr/>
  </property>
  <property fmtid="{D5CDD505-2E9C-101B-9397-08002B2CF9AE}" pid="7" name="GrammarlyDocumentId">
    <vt:lpwstr>9840bcad-d700-431f-85d1-e7249aad2c2a</vt:lpwstr>
  </property>
  <property fmtid="{D5CDD505-2E9C-101B-9397-08002B2CF9AE}" pid="8" name="_dlc_DocIdItemGuid">
    <vt:lpwstr>0686d8bd-6bcc-4ab6-8614-21d301aa2945</vt:lpwstr>
  </property>
  <property fmtid="{D5CDD505-2E9C-101B-9397-08002B2CF9AE}" pid="9" name="OCD_DocType">
    <vt:lpwstr>27;#Manuals|47cd676e-de80-4025-bc10-d455e22351a2</vt:lpwstr>
  </property>
  <property fmtid="{D5CDD505-2E9C-101B-9397-08002B2CF9AE}" pid="10" name="TaxKeyword">
    <vt:lpwstr/>
  </property>
  <property fmtid="{D5CDD505-2E9C-101B-9397-08002B2CF9AE}" pid="11" name="OCD_Reoccurence">
    <vt:lpwstr/>
  </property>
  <property fmtid="{D5CDD505-2E9C-101B-9397-08002B2CF9AE}" pid="12" name="OCD_Department">
    <vt:lpwstr>49;#Compliance|71ba37d3-af14-46ad-9b78-83f5a8cb9dd4</vt:lpwstr>
  </property>
  <property fmtid="{D5CDD505-2E9C-101B-9397-08002B2CF9AE}" pid="13" name="TaxKeywordTaxHTField">
    <vt:lpwstr/>
  </property>
  <property fmtid="{D5CDD505-2E9C-101B-9397-08002B2CF9AE}" pid="14" name="OCD_Event">
    <vt:lpwstr>68;#All|edcb62e5-8053-4726-8424-95caf6aa462f</vt:lpwstr>
  </property>
  <property fmtid="{D5CDD505-2E9C-101B-9397-08002B2CF9AE}" pid="15" name="OCD_FundingSource">
    <vt:lpwstr>12;#Mitigation|922a0b6a-2c18-4cba-95c8-d109d66b9eca;#19;# Recovery|e5d204ba-6285-468b-b9e7-f6c3aefc190f</vt:lpwstr>
  </property>
  <property fmtid="{D5CDD505-2E9C-101B-9397-08002B2CF9AE}" pid="16" name="OCD_ProgramAdministrator">
    <vt:lpwstr/>
  </property>
</Properties>
</file>