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6314" w14:textId="77777777" w:rsidR="00F6064D" w:rsidRDefault="00391B7F" w:rsidP="006D4CEF">
      <w:pPr>
        <w:widowControl w:val="0"/>
        <w:tabs>
          <w:tab w:val="right" w:pos="9360"/>
        </w:tabs>
        <w:spacing w:after="0" w:line="240" w:lineRule="auto"/>
        <w:jc w:val="center"/>
        <w:rPr>
          <w:rFonts w:ascii="Times New Roman" w:eastAsia="Times New Roman" w:hAnsi="Times New Roman" w:cs="Times New Roman"/>
          <w:b/>
          <w:bCs/>
          <w:snapToGrid w:val="0"/>
          <w:sz w:val="36"/>
          <w:szCs w:val="36"/>
          <w:u w:val="single"/>
        </w:rPr>
      </w:pPr>
      <w:bookmarkStart w:id="0" w:name="OLE_LINK47"/>
      <w:r w:rsidRPr="77D068AC">
        <w:rPr>
          <w:rFonts w:ascii="Times New Roman" w:eastAsia="Times New Roman" w:hAnsi="Times New Roman" w:cs="Times New Roman"/>
          <w:b/>
          <w:bCs/>
          <w:snapToGrid w:val="0"/>
          <w:sz w:val="36"/>
          <w:szCs w:val="36"/>
          <w:u w:val="single"/>
        </w:rPr>
        <w:t xml:space="preserve">SAMPLE AGREEMENT </w:t>
      </w:r>
    </w:p>
    <w:p w14:paraId="548FD11F" w14:textId="5CFDEE6F" w:rsidR="00F6064D" w:rsidRDefault="00391B7F" w:rsidP="006D4CEF">
      <w:pPr>
        <w:widowControl w:val="0"/>
        <w:tabs>
          <w:tab w:val="right" w:pos="9360"/>
        </w:tabs>
        <w:spacing w:after="0" w:line="240" w:lineRule="auto"/>
        <w:jc w:val="center"/>
        <w:rPr>
          <w:rFonts w:ascii="Times New Roman" w:eastAsia="Times New Roman" w:hAnsi="Times New Roman" w:cs="Times New Roman"/>
          <w:b/>
          <w:bCs/>
          <w:snapToGrid w:val="0"/>
          <w:sz w:val="36"/>
          <w:szCs w:val="36"/>
          <w:u w:val="single"/>
        </w:rPr>
      </w:pPr>
      <w:r w:rsidRPr="77D068AC">
        <w:rPr>
          <w:rFonts w:ascii="Times New Roman" w:eastAsia="Times New Roman" w:hAnsi="Times New Roman" w:cs="Times New Roman"/>
          <w:b/>
          <w:bCs/>
          <w:snapToGrid w:val="0"/>
          <w:sz w:val="36"/>
          <w:szCs w:val="36"/>
          <w:u w:val="single"/>
        </w:rPr>
        <w:t xml:space="preserve">APPRAISAL SERVICES </w:t>
      </w:r>
    </w:p>
    <w:p w14:paraId="082F3D8C" w14:textId="468E1A32" w:rsidR="00391B7F" w:rsidRPr="00391B7F" w:rsidRDefault="00391B7F" w:rsidP="00783F4C">
      <w:pPr>
        <w:widowControl w:val="0"/>
        <w:tabs>
          <w:tab w:val="right" w:pos="9360"/>
        </w:tabs>
        <w:spacing w:after="0" w:line="240" w:lineRule="auto"/>
        <w:jc w:val="center"/>
        <w:rPr>
          <w:rFonts w:ascii="Times New Roman" w:eastAsia="Times New Roman" w:hAnsi="Times New Roman" w:cs="Times New Roman"/>
          <w:b/>
          <w:bCs/>
          <w:snapToGrid w:val="0"/>
          <w:sz w:val="36"/>
          <w:szCs w:val="36"/>
          <w:u w:val="single"/>
        </w:rPr>
      </w:pPr>
      <w:r w:rsidRPr="77D068AC">
        <w:rPr>
          <w:rFonts w:ascii="Times New Roman" w:eastAsia="Times New Roman" w:hAnsi="Times New Roman" w:cs="Times New Roman"/>
          <w:b/>
          <w:bCs/>
          <w:snapToGrid w:val="0"/>
          <w:sz w:val="36"/>
          <w:szCs w:val="36"/>
          <w:u w:val="single"/>
        </w:rPr>
        <w:t>(ACQUISITION)</w:t>
      </w:r>
    </w:p>
    <w:bookmarkEnd w:id="0"/>
    <w:p w14:paraId="672A6659"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0A37501D" w14:textId="77777777" w:rsidR="00391B7F" w:rsidRPr="00391B7F" w:rsidRDefault="00391B7F" w:rsidP="00391B7F">
      <w:pPr>
        <w:widowControl w:val="0"/>
        <w:spacing w:after="0" w:line="240" w:lineRule="auto"/>
        <w:rPr>
          <w:rFonts w:ascii="Times New Roman" w:eastAsia="Times New Roman" w:hAnsi="Times New Roman" w:cs="Times New Roman"/>
          <w:snapToGrid w:val="0"/>
          <w:sz w:val="24"/>
          <w:szCs w:val="20"/>
        </w:rPr>
      </w:pPr>
    </w:p>
    <w:p w14:paraId="31C7D35B"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THIS PROFESSIONAL SERVICES AGREEMENT, </w:t>
      </w:r>
      <w:proofErr w:type="gramStart"/>
      <w:r w:rsidRPr="00B5224E">
        <w:rPr>
          <w:rFonts w:ascii="Times New Roman" w:eastAsia="Times New Roman" w:hAnsi="Times New Roman" w:cs="Times New Roman"/>
          <w:snapToGrid w:val="0"/>
        </w:rPr>
        <w:t>entered into</w:t>
      </w:r>
      <w:proofErr w:type="gramEnd"/>
      <w:r w:rsidRPr="00B5224E">
        <w:rPr>
          <w:rFonts w:ascii="Times New Roman" w:eastAsia="Times New Roman" w:hAnsi="Times New Roman" w:cs="Times New Roman"/>
          <w:snapToGrid w:val="0"/>
        </w:rPr>
        <w:t xml:space="preserve"> this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xml:space="preserve"> day of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20</w:t>
      </w:r>
      <w:r w:rsidRPr="00B5224E">
        <w:rPr>
          <w:rFonts w:ascii="Times New Roman" w:eastAsia="Times New Roman" w:hAnsi="Times New Roman" w:cs="Times New Roman"/>
          <w:snapToGrid w:val="0"/>
          <w:u w:val="single"/>
        </w:rPr>
        <w:t xml:space="preserve">   </w:t>
      </w:r>
      <w:proofErr w:type="gramStart"/>
      <w:r w:rsidRPr="00B5224E">
        <w:rPr>
          <w:rFonts w:ascii="Times New Roman" w:eastAsia="Times New Roman" w:hAnsi="Times New Roman" w:cs="Times New Roman"/>
          <w:snapToGrid w:val="0"/>
          <w:u w:val="single"/>
        </w:rPr>
        <w:t xml:space="preserve">  </w:t>
      </w:r>
      <w:r w:rsidRPr="00B5224E">
        <w:rPr>
          <w:rFonts w:ascii="Times New Roman" w:eastAsia="Times New Roman" w:hAnsi="Times New Roman" w:cs="Times New Roman"/>
          <w:snapToGrid w:val="0"/>
        </w:rPr>
        <w:t>,</w:t>
      </w:r>
      <w:proofErr w:type="gramEnd"/>
      <w:r w:rsidRPr="00B5224E">
        <w:rPr>
          <w:rFonts w:ascii="Times New Roman" w:eastAsia="Times New Roman" w:hAnsi="Times New Roman" w:cs="Times New Roman"/>
          <w:snapToGrid w:val="0"/>
        </w:rPr>
        <w:t xml:space="preserve"> by and between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t xml:space="preserve"> </w:t>
      </w:r>
      <w:r w:rsidRPr="00B5224E">
        <w:rPr>
          <w:rFonts w:ascii="Times New Roman" w:eastAsia="Times New Roman" w:hAnsi="Times New Roman" w:cs="Times New Roman"/>
          <w:snapToGrid w:val="0"/>
        </w:rPr>
        <w:t>of the City of</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xml:space="preserve">, State of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xml:space="preserve">, hereinafter referred to as the "Agency", and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hereinafter referred to as the "Appraiser".</w:t>
      </w:r>
    </w:p>
    <w:p w14:paraId="5DAB6C7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CD9FB63" w14:textId="77777777" w:rsidR="00391B7F" w:rsidRPr="00B5224E" w:rsidRDefault="00391B7F" w:rsidP="00783F4C">
      <w:pPr>
        <w:widowControl w:val="0"/>
        <w:spacing w:after="0" w:line="240" w:lineRule="auto"/>
        <w:ind w:firstLine="720"/>
        <w:jc w:val="both"/>
        <w:outlineLvl w:val="0"/>
        <w:rPr>
          <w:rFonts w:ascii="Times New Roman" w:eastAsia="Times New Roman" w:hAnsi="Times New Roman" w:cs="Times New Roman"/>
          <w:snapToGrid w:val="0"/>
        </w:rPr>
      </w:pPr>
      <w:r w:rsidRPr="00B5224E">
        <w:rPr>
          <w:rFonts w:ascii="Times New Roman" w:eastAsia="Times New Roman" w:hAnsi="Times New Roman" w:cs="Times New Roman"/>
          <w:snapToGrid w:val="0"/>
        </w:rPr>
        <w:t>WITNESSETH THAT:</w:t>
      </w:r>
    </w:p>
    <w:p w14:paraId="02EB378F"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9090ED6"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WHEREAS, the Agency proposes to acquire certain real property and desires that the Appraiser furnish the Agency certain services with respect to such property, including an appraisal of each parcel of the property, and the Appraiser represents that he is fully qualified to perform such services and will furnish such services personally; and</w:t>
      </w:r>
    </w:p>
    <w:p w14:paraId="6A05A809"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11BB4737"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proofErr w:type="gramStart"/>
      <w:r w:rsidRPr="00B5224E">
        <w:rPr>
          <w:rFonts w:ascii="Times New Roman" w:eastAsia="Times New Roman" w:hAnsi="Times New Roman" w:cs="Times New Roman"/>
          <w:snapToGrid w:val="0"/>
        </w:rPr>
        <w:t>WHEREAS,</w:t>
      </w:r>
      <w:proofErr w:type="gramEnd"/>
      <w:r w:rsidRPr="00B5224E">
        <w:rPr>
          <w:rFonts w:ascii="Times New Roman" w:eastAsia="Times New Roman" w:hAnsi="Times New Roman" w:cs="Times New Roman"/>
          <w:snapToGrid w:val="0"/>
        </w:rPr>
        <w:t xml:space="preserve"> the services to be provided under this Agreement are necessary to achieve the purposes of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xml:space="preserve"> and the Uniform Relocation Assistance and Real Property Acquisition Policies Act of 1970 (Uniform Act).</w:t>
      </w:r>
    </w:p>
    <w:p w14:paraId="5A39BBE3"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19FF866"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NOW, THEREFORE, the Agency and the Appraiser, for the consideration and under the conditions hereinafter set forth, do agree as follows:</w:t>
      </w:r>
    </w:p>
    <w:p w14:paraId="41C8F396"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1DAFAB22" w14:textId="4CD60CCF" w:rsidR="00391B7F" w:rsidRPr="00B5224E" w:rsidRDefault="00391B7F" w:rsidP="0033125E">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ARTICLE 1.  </w:t>
      </w:r>
      <w:r w:rsidRPr="00B5224E">
        <w:rPr>
          <w:rFonts w:ascii="Times New Roman" w:eastAsia="Times New Roman" w:hAnsi="Times New Roman" w:cs="Times New Roman"/>
          <w:snapToGrid w:val="0"/>
          <w:u w:val="single"/>
        </w:rPr>
        <w:t>Property To Be Appraised</w:t>
      </w:r>
      <w:r w:rsidRPr="00B5224E">
        <w:rPr>
          <w:rFonts w:ascii="Times New Roman" w:eastAsia="Times New Roman" w:hAnsi="Times New Roman" w:cs="Times New Roman"/>
          <w:snapToGrid w:val="0"/>
        </w:rPr>
        <w:t xml:space="preserve">.  A description of the real property to be appraised, including an identification of any interests in the real property to be specifically excluded from appraisal, </w:t>
      </w:r>
      <w:r w:rsidR="009E504B">
        <w:rPr>
          <w:rFonts w:ascii="Times New Roman" w:eastAsia="Times New Roman" w:hAnsi="Times New Roman" w:cs="Times New Roman"/>
          <w:snapToGrid w:val="0"/>
        </w:rPr>
        <w:t>is</w:t>
      </w:r>
      <w:r w:rsidRPr="00B5224E">
        <w:rPr>
          <w:rFonts w:ascii="Times New Roman" w:eastAsia="Times New Roman" w:hAnsi="Times New Roman" w:cs="Times New Roman"/>
          <w:snapToGrid w:val="0"/>
        </w:rPr>
        <w:t xml:space="preserve"> set forth in the attached Attachment A.  A separate appraisal is to be furnished for each "parcel".  (The term "parcel" means any tract or continuous tracts of land in the same ownership, whether any such tract consists of one or more platted lots for a fractional part of a lot.  An easement or other separately held interest in two or more parcels shall </w:t>
      </w:r>
      <w:proofErr w:type="gramStart"/>
      <w:r w:rsidRPr="00B5224E">
        <w:rPr>
          <w:rFonts w:ascii="Times New Roman" w:eastAsia="Times New Roman" w:hAnsi="Times New Roman" w:cs="Times New Roman"/>
          <w:snapToGrid w:val="0"/>
        </w:rPr>
        <w:t>be considered to be</w:t>
      </w:r>
      <w:proofErr w:type="gramEnd"/>
      <w:r w:rsidRPr="00B5224E">
        <w:rPr>
          <w:rFonts w:ascii="Times New Roman" w:eastAsia="Times New Roman" w:hAnsi="Times New Roman" w:cs="Times New Roman"/>
          <w:snapToGrid w:val="0"/>
        </w:rPr>
        <w:t xml:space="preserve"> a separate parcel for appraisal purposes and an exception to the title to the parcels so encumbered.  An easement in a parcel that is appurtenant to another parcel to be acquired by the Agency shall be considered parcel encumbered).  Each parcel shall be considered to include all right, title, and interest of the owner in or to any adjacent or abutting streets, alleys, or other public rights of way. </w:t>
      </w:r>
    </w:p>
    <w:p w14:paraId="72A3D3EC"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10CE1F51" w14:textId="77777777" w:rsidR="00391B7F" w:rsidRPr="00B5224E" w:rsidRDefault="00391B7F" w:rsidP="00783F4C">
      <w:pPr>
        <w:widowControl w:val="0"/>
        <w:spacing w:after="0" w:line="240" w:lineRule="auto"/>
        <w:jc w:val="both"/>
        <w:outlineLvl w:val="0"/>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ARTICLE 2.  </w:t>
      </w:r>
      <w:r w:rsidRPr="00B5224E">
        <w:rPr>
          <w:rFonts w:ascii="Times New Roman" w:eastAsia="Times New Roman" w:hAnsi="Times New Roman" w:cs="Times New Roman"/>
          <w:snapToGrid w:val="0"/>
          <w:u w:val="single"/>
        </w:rPr>
        <w:t>Purpose and Basis of Valuations</w:t>
      </w:r>
      <w:r w:rsidRPr="00B5224E">
        <w:rPr>
          <w:rFonts w:ascii="Times New Roman" w:eastAsia="Times New Roman" w:hAnsi="Times New Roman" w:cs="Times New Roman"/>
          <w:snapToGrid w:val="0"/>
        </w:rPr>
        <w:t>.</w:t>
      </w:r>
    </w:p>
    <w:p w14:paraId="0D0B940D"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D0D540C" w14:textId="77777777"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Purpose and Significance of Appraisals</w:t>
      </w:r>
      <w:r w:rsidRPr="00B5224E">
        <w:rPr>
          <w:rFonts w:ascii="Times New Roman" w:eastAsia="Times New Roman" w:hAnsi="Times New Roman" w:cs="Times New Roman"/>
          <w:snapToGrid w:val="0"/>
        </w:rPr>
        <w:t>.  The appraisals to be furnished under this agreement are required by the Agency for its guidance in making fair and impartial determinations of fair market value and the just compensation to be offered to each property owner.  The Appraiser shall be guided by those objectives when estimating values.  Appraisal reports will be reviewed carefully by the Agency.</w:t>
      </w:r>
    </w:p>
    <w:p w14:paraId="60061E4C"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33221DB" w14:textId="5BE5B9C3" w:rsidR="00391B7F" w:rsidRPr="00B5224E" w:rsidRDefault="00391B7F" w:rsidP="00783F4C">
      <w:pPr>
        <w:widowControl w:val="0"/>
        <w:spacing w:after="0" w:line="240" w:lineRule="auto"/>
        <w:ind w:left="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Accordingly, the text of each appraisal report must cover all matters germane to the required valuation findings and must provide a full explanation of the Appraiser's reasoning and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analyses of the evidence of value, so that a reviewer will be able to follow the Appraiser's analyses and understand how </w:t>
      </w:r>
      <w:r w:rsidR="007B3B21">
        <w:rPr>
          <w:rFonts w:ascii="Times New Roman" w:eastAsia="Times New Roman" w:hAnsi="Times New Roman" w:cs="Times New Roman"/>
          <w:snapToGrid w:val="0"/>
        </w:rPr>
        <w:t>they</w:t>
      </w:r>
      <w:r w:rsidRPr="00B5224E">
        <w:rPr>
          <w:rFonts w:ascii="Times New Roman" w:eastAsia="Times New Roman" w:hAnsi="Times New Roman" w:cs="Times New Roman"/>
          <w:snapToGrid w:val="0"/>
        </w:rPr>
        <w:t xml:space="preserve"> reached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valuation conclusions.</w:t>
      </w:r>
    </w:p>
    <w:p w14:paraId="4B94D5A5" w14:textId="77777777" w:rsidR="003A5133" w:rsidRPr="00B5224E" w:rsidRDefault="003A5133" w:rsidP="00783F4C">
      <w:pPr>
        <w:widowControl w:val="0"/>
        <w:spacing w:after="0" w:line="240" w:lineRule="auto"/>
        <w:jc w:val="both"/>
        <w:rPr>
          <w:rFonts w:ascii="Times New Roman" w:eastAsia="Times New Roman" w:hAnsi="Times New Roman" w:cs="Times New Roman"/>
          <w:snapToGrid w:val="0"/>
        </w:rPr>
      </w:pPr>
    </w:p>
    <w:p w14:paraId="5F8ADEE3" w14:textId="656BCC89"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(b)</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Appraisal Requirements</w:t>
      </w:r>
      <w:r w:rsidRPr="00B5224E">
        <w:rPr>
          <w:rFonts w:ascii="Times New Roman" w:eastAsia="Times New Roman" w:hAnsi="Times New Roman" w:cs="Times New Roman"/>
          <w:snapToGrid w:val="0"/>
        </w:rPr>
        <w:t xml:space="preserve">.  The appraisals under this agreement shall be based on nationally recognized appraisal standards and techniques to the extent that such </w:t>
      </w:r>
      <w:r w:rsidR="00895E7F">
        <w:rPr>
          <w:rFonts w:ascii="Times New Roman" w:eastAsia="Times New Roman" w:hAnsi="Times New Roman" w:cs="Times New Roman"/>
          <w:snapToGrid w:val="0"/>
        </w:rPr>
        <w:t>principles</w:t>
      </w:r>
      <w:r w:rsidRPr="00B5224E">
        <w:rPr>
          <w:rFonts w:ascii="Times New Roman" w:eastAsia="Times New Roman" w:hAnsi="Times New Roman" w:cs="Times New Roman"/>
          <w:snapToGrid w:val="0"/>
        </w:rPr>
        <w:t xml:space="preserve"> are consistent with the concepts of value and the rules on the admissibility of evidence of value under the eminent domain law of the State.  Factors relating to race, color, religion, sex or national origin, or to racial, religious</w:t>
      </w:r>
      <w:r w:rsidR="009E504B">
        <w:rPr>
          <w:rFonts w:ascii="Times New Roman" w:eastAsia="Times New Roman" w:hAnsi="Times New Roman" w:cs="Times New Roman"/>
          <w:snapToGrid w:val="0"/>
        </w:rPr>
        <w:t>,</w:t>
      </w:r>
      <w:r w:rsidRPr="00B5224E">
        <w:rPr>
          <w:rFonts w:ascii="Times New Roman" w:eastAsia="Times New Roman" w:hAnsi="Times New Roman" w:cs="Times New Roman"/>
          <w:snapToGrid w:val="0"/>
        </w:rPr>
        <w:t xml:space="preserve"> and ethnic identification of neighborhoods are not relevant to the estimation of value and shall not be considered in connection with appraisals of residential real property.</w:t>
      </w:r>
    </w:p>
    <w:p w14:paraId="3DEEC669"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6CDD19E9" w14:textId="11BBDC2C"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(c)</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Date of Valuation</w:t>
      </w:r>
      <w:r w:rsidRPr="00B5224E">
        <w:rPr>
          <w:rFonts w:ascii="Times New Roman" w:eastAsia="Times New Roman" w:hAnsi="Times New Roman" w:cs="Times New Roman"/>
          <w:snapToGrid w:val="0"/>
        </w:rPr>
        <w:t xml:space="preserve">.  The Appraiser's valuation shall be as of a date concurrent with the preparation of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report, unless the Agency has specified some other date of valuation.</w:t>
      </w:r>
    </w:p>
    <w:p w14:paraId="3656B9A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8967606" w14:textId="50AE9DB6"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(d)</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Relocation Assistance</w:t>
      </w:r>
      <w:r w:rsidRPr="00B5224E">
        <w:rPr>
          <w:rFonts w:ascii="Times New Roman" w:eastAsia="Times New Roman" w:hAnsi="Times New Roman" w:cs="Times New Roman"/>
          <w:snapToGrid w:val="0"/>
        </w:rPr>
        <w:t xml:space="preserve">.  The Appraiser's analyses and opinions </w:t>
      </w:r>
      <w:r w:rsidR="00895E7F">
        <w:rPr>
          <w:rFonts w:ascii="Times New Roman" w:eastAsia="Times New Roman" w:hAnsi="Times New Roman" w:cs="Times New Roman"/>
          <w:snapToGrid w:val="0"/>
        </w:rPr>
        <w:t>on</w:t>
      </w:r>
      <w:r w:rsidRPr="00B5224E">
        <w:rPr>
          <w:rFonts w:ascii="Times New Roman" w:eastAsia="Times New Roman" w:hAnsi="Times New Roman" w:cs="Times New Roman"/>
          <w:snapToGrid w:val="0"/>
        </w:rPr>
        <w:t xml:space="preserve"> property value shall not reflect any allowance for the relocation payments and other assistance provided under Title II of the Uniform Act.</w:t>
      </w:r>
    </w:p>
    <w:p w14:paraId="45FB0818"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25E2B680" w14:textId="24F2770F"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(e)</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Influence of Project on Property Value</w:t>
      </w:r>
      <w:r w:rsidRPr="00B5224E">
        <w:rPr>
          <w:rFonts w:ascii="Times New Roman" w:eastAsia="Times New Roman" w:hAnsi="Times New Roman" w:cs="Times New Roman"/>
          <w:snapToGrid w:val="0"/>
        </w:rPr>
        <w:t xml:space="preserve">.  In forming </w:t>
      </w:r>
      <w:r w:rsidR="007B3B21">
        <w:rPr>
          <w:rFonts w:ascii="Times New Roman" w:eastAsia="Times New Roman" w:hAnsi="Times New Roman" w:cs="Times New Roman"/>
          <w:snapToGrid w:val="0"/>
        </w:rPr>
        <w:t>their</w:t>
      </w:r>
      <w:r w:rsidR="00CC12E6">
        <w:rPr>
          <w:rFonts w:ascii="Times New Roman" w:eastAsia="Times New Roman" w:hAnsi="Times New Roman" w:cs="Times New Roman"/>
          <w:snapToGrid w:val="0"/>
        </w:rPr>
        <w:t xml:space="preserve"> </w:t>
      </w:r>
      <w:r w:rsidRPr="00B5224E">
        <w:rPr>
          <w:rFonts w:ascii="Times New Roman" w:eastAsia="Times New Roman" w:hAnsi="Times New Roman" w:cs="Times New Roman"/>
          <w:snapToGrid w:val="0"/>
        </w:rPr>
        <w:t xml:space="preserve">opinion(s), the Appraiser shall disregard any decrease or increase in the fair market value of the real property to be acquired, prior to the date of valuation, caused by the project for which the property is to be acquired, or by the likelihood that the property would be acquired for such project, other than that due to physical deterioration within the reasonable control of the owner.  (In the case of a partial acquisition, using the before-and-after method of valuation, the Appraiser's opinion of the value of the remaining not-to-be-acquired portion of the property shall reflect any increase or decrease in value attributable to the project.)  If the determination of changes in value caused by the project is a problem, the Appraiser's report shall cite the ruling followed and its source and shall explain the effect of the ruling on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opinion of value.</w:t>
      </w:r>
    </w:p>
    <w:p w14:paraId="049F31C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0CEEC1C"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ARTICLE 3.  </w:t>
      </w:r>
      <w:r w:rsidRPr="00B5224E">
        <w:rPr>
          <w:rFonts w:ascii="Times New Roman" w:eastAsia="Times New Roman" w:hAnsi="Times New Roman" w:cs="Times New Roman"/>
          <w:snapToGrid w:val="0"/>
          <w:u w:val="single"/>
        </w:rPr>
        <w:t>Scope of Appraiser's Services</w:t>
      </w:r>
      <w:r w:rsidRPr="00B5224E">
        <w:rPr>
          <w:rFonts w:ascii="Times New Roman" w:eastAsia="Times New Roman" w:hAnsi="Times New Roman" w:cs="Times New Roman"/>
          <w:snapToGrid w:val="0"/>
        </w:rPr>
        <w:t>.  The Appraiser agrees to perform the following services.</w:t>
      </w:r>
    </w:p>
    <w:p w14:paraId="53128261"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4E861B86" w14:textId="771B6837"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Appraise each parcel</w:t>
      </w:r>
      <w:r w:rsidRPr="00B5224E">
        <w:rPr>
          <w:rFonts w:ascii="Times New Roman" w:eastAsia="Times New Roman" w:hAnsi="Times New Roman" w:cs="Times New Roman"/>
          <w:snapToGrid w:val="0"/>
        </w:rPr>
        <w:t xml:space="preserve"> and prepare and deliver to the Agency, within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xml:space="preserve"> calendar days after the date of this agreement,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xml:space="preserve"> copies of the appraisal reports conforming </w:t>
      </w:r>
      <w:r w:rsidR="003A5133" w:rsidRPr="00B5224E">
        <w:rPr>
          <w:rFonts w:ascii="Times New Roman" w:eastAsia="Times New Roman" w:hAnsi="Times New Roman" w:cs="Times New Roman"/>
          <w:snapToGrid w:val="0"/>
        </w:rPr>
        <w:t xml:space="preserve">to the provisions of this </w:t>
      </w:r>
      <w:r w:rsidRPr="00B5224E">
        <w:rPr>
          <w:rFonts w:ascii="Times New Roman" w:eastAsia="Times New Roman" w:hAnsi="Times New Roman" w:cs="Times New Roman"/>
          <w:snapToGrid w:val="0"/>
        </w:rPr>
        <w:t>agreement.  The Appraiser shall personally inspect each parcel, including all buildings, structures, fixtures, and other improvements to the property.  The Appraiser shall g</w:t>
      </w:r>
      <w:r w:rsidR="003A5133" w:rsidRPr="00B5224E">
        <w:rPr>
          <w:rFonts w:ascii="Times New Roman" w:eastAsia="Times New Roman" w:hAnsi="Times New Roman" w:cs="Times New Roman"/>
          <w:snapToGrid w:val="0"/>
        </w:rPr>
        <w:t xml:space="preserve">ive the owner or </w:t>
      </w:r>
      <w:r w:rsidR="00895E7F">
        <w:rPr>
          <w:rFonts w:ascii="Times New Roman" w:eastAsia="Times New Roman" w:hAnsi="Times New Roman" w:cs="Times New Roman"/>
          <w:snapToGrid w:val="0"/>
        </w:rPr>
        <w:t>their</w:t>
      </w:r>
      <w:r w:rsidR="003A5133" w:rsidRPr="00B5224E">
        <w:rPr>
          <w:rFonts w:ascii="Times New Roman" w:eastAsia="Times New Roman" w:hAnsi="Times New Roman" w:cs="Times New Roman"/>
          <w:snapToGrid w:val="0"/>
        </w:rPr>
        <w:t xml:space="preserve"> designate </w:t>
      </w:r>
      <w:r w:rsidRPr="00B5224E">
        <w:rPr>
          <w:rFonts w:ascii="Times New Roman" w:eastAsia="Times New Roman" w:hAnsi="Times New Roman" w:cs="Times New Roman"/>
          <w:snapToGrid w:val="0"/>
        </w:rPr>
        <w:t xml:space="preserve">representative an opportunity to accompany the Appraiser during </w:t>
      </w:r>
      <w:r w:rsidR="00895E7F">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detailed inspection of the property.  If the owner is of a compensable interest in the property or a representative of su</w:t>
      </w:r>
      <w:r w:rsidR="003A5133" w:rsidRPr="00B5224E">
        <w:rPr>
          <w:rFonts w:ascii="Times New Roman" w:eastAsia="Times New Roman" w:hAnsi="Times New Roman" w:cs="Times New Roman"/>
          <w:snapToGrid w:val="0"/>
        </w:rPr>
        <w:t xml:space="preserve">ch owner does not accompany the </w:t>
      </w:r>
      <w:r w:rsidRPr="00B5224E">
        <w:rPr>
          <w:rFonts w:ascii="Times New Roman" w:eastAsia="Times New Roman" w:hAnsi="Times New Roman" w:cs="Times New Roman"/>
          <w:snapToGrid w:val="0"/>
        </w:rPr>
        <w:t xml:space="preserve">Appraiser during the inspection, the Appraiser shall include in </w:t>
      </w:r>
      <w:r w:rsidR="00BF3D1C">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appraisal report a copy of </w:t>
      </w:r>
      <w:r w:rsidR="00BF3D1C">
        <w:rPr>
          <w:rFonts w:ascii="Times New Roman" w:eastAsia="Times New Roman" w:hAnsi="Times New Roman" w:cs="Times New Roman"/>
          <w:snapToGrid w:val="0"/>
        </w:rPr>
        <w:t xml:space="preserve">their </w:t>
      </w:r>
      <w:r w:rsidRPr="00B5224E">
        <w:rPr>
          <w:rFonts w:ascii="Times New Roman" w:eastAsia="Times New Roman" w:hAnsi="Times New Roman" w:cs="Times New Roman"/>
          <w:snapToGrid w:val="0"/>
        </w:rPr>
        <w:t xml:space="preserve">notification to the owner of the opportunity to accompany the Appraiser and evidence of the owner's receipt of such notification.  In the process of inspecting the property, the Appraiser shall, to the extent practicable, ascertain the rights of all parties in possession and note for consideration all </w:t>
      </w:r>
      <w:proofErr w:type="gramStart"/>
      <w:r w:rsidRPr="00B5224E">
        <w:rPr>
          <w:rFonts w:ascii="Times New Roman" w:eastAsia="Times New Roman" w:hAnsi="Times New Roman" w:cs="Times New Roman"/>
          <w:snapToGrid w:val="0"/>
        </w:rPr>
        <w:t>factual information</w:t>
      </w:r>
      <w:proofErr w:type="gramEnd"/>
      <w:r w:rsidRPr="00B5224E">
        <w:rPr>
          <w:rFonts w:ascii="Times New Roman" w:eastAsia="Times New Roman" w:hAnsi="Times New Roman" w:cs="Times New Roman"/>
          <w:snapToGrid w:val="0"/>
        </w:rPr>
        <w:t xml:space="preserve"> and comments furnished by the owner or </w:t>
      </w:r>
      <w:r w:rsidR="00BF3D1C">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representative relevant to the appraisal.</w:t>
      </w:r>
    </w:p>
    <w:p w14:paraId="62486C05"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D24EC1F" w14:textId="7AA6A59D" w:rsidR="00391B7F" w:rsidRPr="00B5224E" w:rsidRDefault="00391B7F" w:rsidP="00783F4C">
      <w:pPr>
        <w:widowControl w:val="0"/>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(b)</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Testify as an expert witness</w:t>
      </w:r>
      <w:r w:rsidRPr="00B5224E">
        <w:rPr>
          <w:rFonts w:ascii="Times New Roman" w:eastAsia="Times New Roman" w:hAnsi="Times New Roman" w:cs="Times New Roman"/>
          <w:snapToGrid w:val="0"/>
        </w:rPr>
        <w:t xml:space="preserve"> </w:t>
      </w:r>
      <w:r w:rsidR="449BA00E" w:rsidRPr="00B5224E">
        <w:rPr>
          <w:rFonts w:ascii="Times New Roman" w:eastAsia="Times New Roman" w:hAnsi="Times New Roman" w:cs="Times New Roman"/>
          <w:snapToGrid w:val="0"/>
        </w:rPr>
        <w:t>on</w:t>
      </w:r>
      <w:r w:rsidRPr="00B5224E">
        <w:rPr>
          <w:rFonts w:ascii="Times New Roman" w:eastAsia="Times New Roman" w:hAnsi="Times New Roman" w:cs="Times New Roman"/>
          <w:snapToGrid w:val="0"/>
        </w:rPr>
        <w:t xml:space="preserve"> behalf of the Agency in any judicial proceeding involving any property appraised under this agreement.  Such services shall include such reasonable time as may be required for re-inspection of the property, updating the Appraiser's valuation, participation in pretrial conferences with counsel for the Agency, and testifying in the judicial proceeding.  The compensation for such services shall be determined in accordance with Article 6.</w:t>
      </w:r>
    </w:p>
    <w:p w14:paraId="4101652C"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42EFCF05"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(c)</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Modify or furnish supplements</w:t>
      </w:r>
      <w:r w:rsidRPr="00B5224E">
        <w:rPr>
          <w:rFonts w:ascii="Times New Roman" w:eastAsia="Times New Roman" w:hAnsi="Times New Roman" w:cs="Times New Roman"/>
          <w:snapToGrid w:val="0"/>
        </w:rPr>
        <w:t xml:space="preserve"> to any appraisal report furnished under this agreement, without additional cost to the Agency, if (1) applicable principles of law with respect to the valuation of the </w:t>
      </w:r>
      <w:r w:rsidRPr="00B5224E">
        <w:rPr>
          <w:rFonts w:ascii="Times New Roman" w:eastAsia="Times New Roman" w:hAnsi="Times New Roman" w:cs="Times New Roman"/>
          <w:snapToGrid w:val="0"/>
        </w:rPr>
        <w:lastRenderedPageBreak/>
        <w:t>property require the modification or supplementing of such appraisal, (2) material omissions, inaccuracies, or defects in the appraisal report are discovered after delivery and acceptance of the report by the Agency or (3) the Appraiser receives or becomes aware of relevant additional appraisal information in existence prior to the date the Appraiser signed the report.  If there is a significant delay between the date of valuation and the date of acquisition of any parcel or if the property has been materially altered since the appraisal by a fire, a revised determination of the boundaries of the property to be acquired, or other cause, the Appraiser shall, if requested by the Agency, furnish the Agency a supplementary report updating this valuation and the supporting data and analysis to a current date.  The compensation for such updating of an appraisal shall be determined in accordance with Article 6.</w:t>
      </w:r>
    </w:p>
    <w:p w14:paraId="4B99056E"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F09326F"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(d)</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Estimate the value of any right or interest proposed to be reserved</w:t>
      </w:r>
      <w:r w:rsidRPr="00B5224E">
        <w:rPr>
          <w:rFonts w:ascii="Times New Roman" w:eastAsia="Times New Roman" w:hAnsi="Times New Roman" w:cs="Times New Roman"/>
          <w:snapToGrid w:val="0"/>
        </w:rPr>
        <w:t xml:space="preserve"> by the owner in a property appraised by the Appraiser, such as an easement for access to other property of the owner, the right to continue occupancy for an extended period after the Agency acquires the property, or the right to remove any building, structure, fixture, or other improvement.  The compensation to be paid to the Appraiser for furnishing any such valuation shall be determined in accordance with Article 6.</w:t>
      </w:r>
    </w:p>
    <w:p w14:paraId="1299C43A"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2D3C9FD"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(e)</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Consultant with the Agency</w:t>
      </w:r>
      <w:r w:rsidRPr="00B5224E">
        <w:rPr>
          <w:rFonts w:ascii="Times New Roman" w:eastAsia="Times New Roman" w:hAnsi="Times New Roman" w:cs="Times New Roman"/>
          <w:snapToGrid w:val="0"/>
        </w:rPr>
        <w:t xml:space="preserve"> and its legal counsel regarding services to be performed by the Appraiser, at such time(s) as may be mutually convenient for the parties to this agreement.  The Appraiser shall initiate such consultations whenever he is in doubt as to whether an element of property is real or personal property or needs legal advice on any aspect of the appraisals to be furnished under this agreement.  There shall be no charge by any party for such consultations.</w:t>
      </w:r>
    </w:p>
    <w:p w14:paraId="4DDBEF00"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461D779" w14:textId="77777777" w:rsidR="00766CBF" w:rsidRPr="00B5224E" w:rsidRDefault="00766CBF" w:rsidP="00783F4C">
      <w:pPr>
        <w:widowControl w:val="0"/>
        <w:spacing w:after="0" w:line="240" w:lineRule="auto"/>
        <w:jc w:val="both"/>
        <w:rPr>
          <w:rFonts w:ascii="Times New Roman" w:eastAsia="Times New Roman" w:hAnsi="Times New Roman" w:cs="Times New Roman"/>
          <w:snapToGrid w:val="0"/>
        </w:rPr>
      </w:pPr>
    </w:p>
    <w:p w14:paraId="10492739"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ARTICLE 4.  </w:t>
      </w:r>
      <w:r w:rsidRPr="00B5224E">
        <w:rPr>
          <w:rFonts w:ascii="Times New Roman" w:eastAsia="Times New Roman" w:hAnsi="Times New Roman" w:cs="Times New Roman"/>
          <w:snapToGrid w:val="0"/>
          <w:u w:val="single"/>
        </w:rPr>
        <w:t>Contents of Appraisal Reports</w:t>
      </w:r>
      <w:r w:rsidRPr="00B5224E">
        <w:rPr>
          <w:rFonts w:ascii="Times New Roman" w:eastAsia="Times New Roman" w:hAnsi="Times New Roman" w:cs="Times New Roman"/>
          <w:snapToGrid w:val="0"/>
        </w:rPr>
        <w:t xml:space="preserve">.  Each appraisal report to be furnished by the Appraiser under this agreement shall contain certain information and the Appraiser's conclusions and opinions, together with the data and analysis by which they were derived, as set forth below.  A separate report shall be submitted for each parcel. </w:t>
      </w:r>
    </w:p>
    <w:p w14:paraId="6557CBBC"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However, if more than one parcel is to be appraised, all general data may be included in a separate data volume that is referenced in the separate appraisal reports on the individual parcels. The appraisal report on each parcel shall include the following:</w:t>
      </w:r>
    </w:p>
    <w:p w14:paraId="3CF2D8B6"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19285A54"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 summary</w:t>
      </w:r>
      <w:r w:rsidRPr="00B5224E">
        <w:rPr>
          <w:rFonts w:ascii="Times New Roman" w:eastAsia="Times New Roman" w:hAnsi="Times New Roman" w:cs="Times New Roman"/>
          <w:snapToGrid w:val="0"/>
        </w:rPr>
        <w:t xml:space="preserve"> headed "Appraisal Report for (name of Agency)" that provides the following:</w:t>
      </w:r>
    </w:p>
    <w:p w14:paraId="0FB78278"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A5D1E00"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(1)</w:t>
      </w:r>
      <w:r w:rsidRPr="00B5224E">
        <w:rPr>
          <w:rFonts w:ascii="Times New Roman" w:eastAsia="Times New Roman" w:hAnsi="Times New Roman" w:cs="Times New Roman"/>
          <w:snapToGrid w:val="0"/>
        </w:rPr>
        <w:tab/>
        <w:t>Project name and number.</w:t>
      </w:r>
    </w:p>
    <w:p w14:paraId="1FC39945"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2CE244BD"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(2)</w:t>
      </w:r>
      <w:r w:rsidRPr="00B5224E">
        <w:rPr>
          <w:rFonts w:ascii="Times New Roman" w:eastAsia="Times New Roman" w:hAnsi="Times New Roman" w:cs="Times New Roman"/>
          <w:snapToGrid w:val="0"/>
        </w:rPr>
        <w:tab/>
        <w:t>Date of the report.</w:t>
      </w:r>
    </w:p>
    <w:p w14:paraId="0562CB0E"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75B725E" w14:textId="04CE4F6C"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(3)</w:t>
      </w:r>
      <w:r w:rsidRPr="00B5224E">
        <w:rPr>
          <w:rFonts w:ascii="Times New Roman" w:eastAsia="Times New Roman" w:hAnsi="Times New Roman" w:cs="Times New Roman"/>
          <w:snapToGrid w:val="0"/>
        </w:rPr>
        <w:tab/>
        <w:t>Parcel number, address of the property, brief identification of all interests in the property appraised, and the name of the owner(s)</w:t>
      </w:r>
      <w:r w:rsidR="00CC12E6">
        <w:rPr>
          <w:rFonts w:ascii="Times New Roman" w:eastAsia="Times New Roman" w:hAnsi="Times New Roman" w:cs="Times New Roman"/>
          <w:snapToGrid w:val="0"/>
        </w:rPr>
        <w:t>,</w:t>
      </w:r>
      <w:r w:rsidRPr="00B5224E">
        <w:rPr>
          <w:rFonts w:ascii="Times New Roman" w:eastAsia="Times New Roman" w:hAnsi="Times New Roman" w:cs="Times New Roman"/>
          <w:snapToGrid w:val="0"/>
        </w:rPr>
        <w:t xml:space="preserve"> including any tenant-owners.</w:t>
      </w:r>
    </w:p>
    <w:p w14:paraId="34CE0A41"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3A6BF8A" w14:textId="047B872E"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(4)</w:t>
      </w:r>
      <w:r w:rsidRPr="00B5224E">
        <w:rPr>
          <w:rFonts w:ascii="Times New Roman" w:eastAsia="Times New Roman" w:hAnsi="Times New Roman" w:cs="Times New Roman"/>
          <w:snapToGrid w:val="0"/>
        </w:rPr>
        <w:tab/>
        <w:t xml:space="preserve">Date(s) of the Appraiser's inspection of the property with the owner(s) or the owner's designated representative, including the name of each owner or representative of an owner who accompanied the Appraiser during </w:t>
      </w:r>
      <w:r w:rsidR="00BF3D1C">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inspection and the interest held in the property or the representative capacity of each such person.</w:t>
      </w:r>
    </w:p>
    <w:p w14:paraId="62EBF3C5"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5D07386"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(5)</w:t>
      </w:r>
      <w:r w:rsidRPr="00B5224E">
        <w:rPr>
          <w:rFonts w:ascii="Times New Roman" w:eastAsia="Times New Roman" w:hAnsi="Times New Roman" w:cs="Times New Roman"/>
          <w:snapToGrid w:val="0"/>
        </w:rPr>
        <w:tab/>
        <w:t>The Appraiser's estimate of the fair market value of the entire parcel and the fair market value of the same interest in the land, as if vacant.</w:t>
      </w:r>
    </w:p>
    <w:p w14:paraId="6D98A12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CAF4AD6"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lastRenderedPageBreak/>
        <w:t>(6)</w:t>
      </w:r>
      <w:r w:rsidRPr="00B5224E">
        <w:rPr>
          <w:rFonts w:ascii="Times New Roman" w:eastAsia="Times New Roman" w:hAnsi="Times New Roman" w:cs="Times New Roman"/>
          <w:snapToGrid w:val="0"/>
        </w:rPr>
        <w:tab/>
        <w:t>The limiting conditions of the appraisal, which may include assumptions (i) that the title is good and marketable, (ii) that no responsibility is assumed by the Appraiser for legal matters, especially those affecting the title to the property, (iii) that the legal description of the property and the interest in the property to be appraised, furnished to the Appraiser by the Agency, is correct, and (iv) that no survey of the property has been made.  Any other appropriate assumption or limiting condition may be added if it has been specifically approved in writing by the Agency.</w:t>
      </w:r>
    </w:p>
    <w:p w14:paraId="2946DB82"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AA5055F" w14:textId="1961ED90" w:rsidR="00391B7F" w:rsidRPr="00B5224E" w:rsidRDefault="00391B7F" w:rsidP="00783F4C">
      <w:pPr>
        <w:widowControl w:val="0"/>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(7)</w:t>
      </w:r>
      <w:r w:rsidRPr="00B5224E">
        <w:rPr>
          <w:rFonts w:ascii="Times New Roman" w:eastAsia="Times New Roman" w:hAnsi="Times New Roman" w:cs="Times New Roman"/>
          <w:snapToGrid w:val="0"/>
        </w:rPr>
        <w:tab/>
        <w:t xml:space="preserve">The certifications of the Appraiser (i) that </w:t>
      </w:r>
      <w:r w:rsidR="00CC12E6">
        <w:rPr>
          <w:rFonts w:ascii="Times New Roman" w:eastAsia="Times New Roman" w:hAnsi="Times New Roman" w:cs="Times New Roman"/>
          <w:snapToGrid w:val="0"/>
        </w:rPr>
        <w:t>they</w:t>
      </w:r>
      <w:r w:rsidRPr="00B5224E">
        <w:rPr>
          <w:rFonts w:ascii="Times New Roman" w:eastAsia="Times New Roman" w:hAnsi="Times New Roman" w:cs="Times New Roman"/>
          <w:snapToGrid w:val="0"/>
        </w:rPr>
        <w:t xml:space="preserve"> personally made a </w:t>
      </w:r>
      <w:r w:rsidR="704050F6" w:rsidRPr="00B5224E">
        <w:rPr>
          <w:rFonts w:ascii="Times New Roman" w:eastAsia="Times New Roman" w:hAnsi="Times New Roman" w:cs="Times New Roman"/>
          <w:snapToGrid w:val="0"/>
        </w:rPr>
        <w:t>thorough</w:t>
      </w:r>
      <w:r w:rsidRPr="00B5224E">
        <w:rPr>
          <w:rFonts w:ascii="Times New Roman" w:eastAsia="Times New Roman" w:hAnsi="Times New Roman" w:cs="Times New Roman"/>
          <w:snapToGrid w:val="0"/>
        </w:rPr>
        <w:t xml:space="preserve"> inspection of the property (ii) that, to the best of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knowledge and belief, everything contained in the report is true and no relevant and important fact has been omitted, (iii) that neither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employment nor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compensation is contingent on the valuation reported, and (iv) that he has no past, present, or prospective interest (including that of real estate agency or broker) in the property, the parties involved, or any other interest that would conflict in any way with the services performed or the making of an impartial report.</w:t>
      </w:r>
    </w:p>
    <w:p w14:paraId="5997CC1D"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38DFE80"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(8)</w:t>
      </w:r>
      <w:r w:rsidRPr="00B5224E">
        <w:rPr>
          <w:rFonts w:ascii="Times New Roman" w:eastAsia="Times New Roman" w:hAnsi="Times New Roman" w:cs="Times New Roman"/>
          <w:snapToGrid w:val="0"/>
        </w:rPr>
        <w:tab/>
        <w:t>A certification that, in the Appraiser's opinion, the fair market value of the property is (an amount to be stated) as of (the date of valuation).</w:t>
      </w:r>
    </w:p>
    <w:p w14:paraId="110FFD37"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A855DE5"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(9)</w:t>
      </w:r>
      <w:r w:rsidRPr="00B5224E">
        <w:rPr>
          <w:rFonts w:ascii="Times New Roman" w:eastAsia="Times New Roman" w:hAnsi="Times New Roman" w:cs="Times New Roman"/>
          <w:snapToGrid w:val="0"/>
        </w:rPr>
        <w:tab/>
        <w:t>The signature of the Appraiser</w:t>
      </w:r>
    </w:p>
    <w:p w14:paraId="6B699379"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p>
    <w:p w14:paraId="45C0D105"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(b)</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The name and address of the owner</w:t>
      </w:r>
      <w:r w:rsidRPr="00B5224E">
        <w:rPr>
          <w:rFonts w:ascii="Times New Roman" w:eastAsia="Times New Roman" w:hAnsi="Times New Roman" w:cs="Times New Roman"/>
          <w:snapToGrid w:val="0"/>
        </w:rPr>
        <w:t xml:space="preserve"> of the property and the name of any other </w:t>
      </w:r>
    </w:p>
    <w:p w14:paraId="5E8C797C" w14:textId="77777777" w:rsidR="00391B7F" w:rsidRPr="00B5224E" w:rsidRDefault="00391B7F" w:rsidP="00783F4C">
      <w:pPr>
        <w:widowControl w:val="0"/>
        <w:tabs>
          <w:tab w:val="left" w:pos="-1440"/>
        </w:tabs>
        <w:spacing w:after="0" w:line="240" w:lineRule="auto"/>
        <w:ind w:left="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party known or believed to hold a separate compensable interest in the property.</w:t>
      </w:r>
    </w:p>
    <w:p w14:paraId="3FE9F23F"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434B79C6" w14:textId="5D17E0B8"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(c)</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The street address and an accurate description of each parcel</w:t>
      </w:r>
      <w:r w:rsidRPr="00B5224E">
        <w:rPr>
          <w:rFonts w:ascii="Times New Roman" w:eastAsia="Times New Roman" w:hAnsi="Times New Roman" w:cs="Times New Roman"/>
          <w:snapToGrid w:val="0"/>
        </w:rPr>
        <w:t xml:space="preserve"> and all interests in the parcel appraised.  The property description shall identify all conditions, restrictions, easements, servitudes, and reservations affecting the title.  The property description shall specifically exclude and describe any separately held interest in the property that is to be acquired separately or as part of another parcel.  The description shall also specifically exclude all separately held interests </w:t>
      </w:r>
      <w:r w:rsidR="00FF0198">
        <w:rPr>
          <w:rFonts w:ascii="Times New Roman" w:eastAsia="Times New Roman" w:hAnsi="Times New Roman" w:cs="Times New Roman"/>
          <w:snapToGrid w:val="0"/>
        </w:rPr>
        <w:t>that</w:t>
      </w:r>
      <w:r w:rsidRPr="00B5224E">
        <w:rPr>
          <w:rFonts w:ascii="Times New Roman" w:eastAsia="Times New Roman" w:hAnsi="Times New Roman" w:cs="Times New Roman"/>
          <w:snapToGrid w:val="0"/>
        </w:rPr>
        <w:t xml:space="preserve"> are not to be acquired and will not be </w:t>
      </w:r>
      <w:r w:rsidR="00FF0198">
        <w:rPr>
          <w:rFonts w:ascii="Times New Roman" w:eastAsia="Times New Roman" w:hAnsi="Times New Roman" w:cs="Times New Roman"/>
          <w:snapToGrid w:val="0"/>
        </w:rPr>
        <w:t>adversely affected</w:t>
      </w:r>
      <w:r w:rsidRPr="00B5224E">
        <w:rPr>
          <w:rFonts w:ascii="Times New Roman" w:eastAsia="Times New Roman" w:hAnsi="Times New Roman" w:cs="Times New Roman"/>
          <w:snapToGrid w:val="0"/>
        </w:rPr>
        <w:t xml:space="preserve"> by the Agency's project.  If there are any separately held interests in a parcel, which are to be acquired with other interests in the same parcel, such as leaseholds, tenant-owned improvements, life estates, easements, and water, gas, oil, or mineral rights, a description of each such separate interest and the name of its owner shall be furnished.</w:t>
      </w:r>
    </w:p>
    <w:p w14:paraId="1F72F646"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EAE3084"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(d)</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Off-record title information</w:t>
      </w:r>
      <w:r w:rsidRPr="00B5224E">
        <w:rPr>
          <w:rFonts w:ascii="Times New Roman" w:eastAsia="Times New Roman" w:hAnsi="Times New Roman" w:cs="Times New Roman"/>
          <w:snapToGrid w:val="0"/>
        </w:rPr>
        <w:t xml:space="preserve"> concerning interests or instruments that affect title, but are not of record, such as leases, options to renew a lease, contracts of sale, and other interests or rights of parties in possession.  Such information shall be reported, and if available facts are sufficient, the Appraiser's report shall be based on such additional title information and so noted in the appraisal report.  Otherwise, the Appraiser shall refer the matter to the Agency and defer completion of the appraisal until the question is resolved.</w:t>
      </w:r>
    </w:p>
    <w:p w14:paraId="08CE6F91"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0368BCC9" w14:textId="5FFFC969"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(e)</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Basic property data</w:t>
      </w:r>
      <w:r w:rsidRPr="00B5224E">
        <w:rPr>
          <w:rFonts w:ascii="Times New Roman" w:eastAsia="Times New Roman" w:hAnsi="Times New Roman" w:cs="Times New Roman"/>
          <w:snapToGrid w:val="0"/>
        </w:rPr>
        <w:t xml:space="preserve"> including pertinent information with respect to such matters as (1) the environment and location of the property, (2) the zoning and any restrictive covenants, conditions, or servitudes affecting the available use or occupancy of the land, (3) the assessed value of the real property and the current annual real estate tax burden, (4) the use and occupancy of the property at time of appraisal, (5) the public improvement, services, and utilities serving and providing access to the property, (6) the character, topography, dimensions, and area of the land, (7) the freedom of the property from special hazards, (8) the current rental and rental history of the property, if rented, </w:t>
      </w:r>
      <w:r w:rsidRPr="00B5224E">
        <w:rPr>
          <w:rFonts w:ascii="Times New Roman" w:eastAsia="Times New Roman" w:hAnsi="Times New Roman" w:cs="Times New Roman"/>
          <w:snapToGrid w:val="0"/>
        </w:rPr>
        <w:lastRenderedPageBreak/>
        <w:t xml:space="preserve">(9) the estimated annual costs of ownership and for operation and maintenance of the property, and (10) a description of the buildings, structures, and other improvements, if any, including relevant information as to type of improvement, designed use, construction materials and finish, equipment, dimensions, floor area, age, condition, space or room arrangement, functional utility, and any other characteristics or attributes of the improvements germane to the value of the real property.  The appraisal report shall contain a general sketch plat showing the shape and dimensions of the land, the location of the principal improvements on the land, the location of any easements in the land, and the abutting streets, alleys, or other public </w:t>
      </w:r>
      <w:r w:rsidR="00E10610">
        <w:rPr>
          <w:rFonts w:ascii="Times New Roman" w:eastAsia="Times New Roman" w:hAnsi="Times New Roman" w:cs="Times New Roman"/>
          <w:snapToGrid w:val="0"/>
        </w:rPr>
        <w:t>right-of-way</w:t>
      </w:r>
      <w:r w:rsidRPr="00B5224E">
        <w:rPr>
          <w:rFonts w:ascii="Times New Roman" w:eastAsia="Times New Roman" w:hAnsi="Times New Roman" w:cs="Times New Roman"/>
          <w:snapToGrid w:val="0"/>
        </w:rPr>
        <w:t>.  The report shall also include such photographs, clearly identified, as may be appropriate.</w:t>
      </w:r>
    </w:p>
    <w:p w14:paraId="61CDCEAD" w14:textId="77777777" w:rsidR="003A5133" w:rsidRPr="00B5224E" w:rsidRDefault="003A5133" w:rsidP="00783F4C">
      <w:pPr>
        <w:widowControl w:val="0"/>
        <w:spacing w:after="0" w:line="240" w:lineRule="auto"/>
        <w:jc w:val="both"/>
        <w:rPr>
          <w:rFonts w:ascii="Times New Roman" w:eastAsia="Times New Roman" w:hAnsi="Times New Roman" w:cs="Times New Roman"/>
          <w:snapToGrid w:val="0"/>
        </w:rPr>
      </w:pPr>
    </w:p>
    <w:p w14:paraId="7C29CF22" w14:textId="77777777" w:rsidR="003A5133"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(f)</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Report of any condition or occupancy of the property in violation of law</w:t>
      </w:r>
      <w:r w:rsidRPr="00B5224E">
        <w:rPr>
          <w:rFonts w:ascii="Times New Roman" w:eastAsia="Times New Roman" w:hAnsi="Times New Roman" w:cs="Times New Roman"/>
          <w:snapToGrid w:val="0"/>
        </w:rPr>
        <w:t xml:space="preserve"> that may affect the value of the property.</w:t>
      </w:r>
    </w:p>
    <w:p w14:paraId="6BB9E253" w14:textId="77777777" w:rsidR="003A5133" w:rsidRPr="00B5224E" w:rsidRDefault="003A5133"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p>
    <w:p w14:paraId="0340D064" w14:textId="1349C07B"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(g)</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The Appraiser's opinion as to the highest and best use</w:t>
      </w:r>
      <w:r w:rsidRPr="00B5224E">
        <w:rPr>
          <w:rFonts w:ascii="Times New Roman" w:eastAsia="Times New Roman" w:hAnsi="Times New Roman" w:cs="Times New Roman"/>
          <w:snapToGrid w:val="0"/>
        </w:rPr>
        <w:t xml:space="preserve"> for the property.  The appraisal report shall also include the Appraiser's opinions as to any other use(s) for which the property is reasonably suitable or adaptable.  If the property is unused vacant land or the highest and best use is not self-evident or is found to differ significantly from the present use, the appraisal report shall contain the analysis by which the Appraiser reach </w:t>
      </w:r>
      <w:r w:rsidR="007B3B21">
        <w:rPr>
          <w:rFonts w:ascii="Times New Roman" w:eastAsia="Times New Roman" w:hAnsi="Times New Roman" w:cs="Times New Roman"/>
          <w:snapToGrid w:val="0"/>
        </w:rPr>
        <w:t>their</w:t>
      </w:r>
      <w:r w:rsidR="00E10610">
        <w:rPr>
          <w:rFonts w:ascii="Times New Roman" w:eastAsia="Times New Roman" w:hAnsi="Times New Roman" w:cs="Times New Roman"/>
          <w:snapToGrid w:val="0"/>
        </w:rPr>
        <w:t xml:space="preserve"> </w:t>
      </w:r>
      <w:r w:rsidRPr="00B5224E">
        <w:rPr>
          <w:rFonts w:ascii="Times New Roman" w:eastAsia="Times New Roman" w:hAnsi="Times New Roman" w:cs="Times New Roman"/>
          <w:snapToGrid w:val="0"/>
        </w:rPr>
        <w:t>conclusions as to the highest and best use and as the relative suitability or adaptability of the property for any other use(s) for which the property could reasonably be considered to be suitable or adaptable.  The analysis of a potential use shall include consideration of relevant matters, such as the suitability of the location, the environment and the legal and physical attributes of the property for such use, the estimated cost, if any, of converting the property to such use, and the supply, sale price levels, and relative desirability of other properties that would compete for the same kind of use.  The analysis of the property for the future use or uses found to be the highest and best use is part of the process of appraising the property and, therefore, may be included in the valuation analysis furnished in accordance with Paragraph 4 (h) below.</w:t>
      </w:r>
    </w:p>
    <w:p w14:paraId="23DE523C"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76E9032" w14:textId="73896AB3"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(h)</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The opinion of the Appraiser as to the fair market value of the property</w:t>
      </w:r>
      <w:r w:rsidRPr="00B5224E">
        <w:rPr>
          <w:rFonts w:ascii="Times New Roman" w:eastAsia="Times New Roman" w:hAnsi="Times New Roman" w:cs="Times New Roman"/>
          <w:snapToGrid w:val="0"/>
        </w:rPr>
        <w:t xml:space="preserve">.  The appraisal report shall contain a description of the reasoning process used by the Appraiser in reaching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conclusion as to value and all data and analysis needed to explain and support </w:t>
      </w:r>
      <w:r w:rsidR="007B3B21">
        <w:rPr>
          <w:rFonts w:ascii="Times New Roman" w:eastAsia="Times New Roman" w:hAnsi="Times New Roman" w:cs="Times New Roman"/>
          <w:snapToGrid w:val="0"/>
        </w:rPr>
        <w:t xml:space="preserve">their </w:t>
      </w:r>
      <w:r w:rsidRPr="00B5224E">
        <w:rPr>
          <w:rFonts w:ascii="Times New Roman" w:eastAsia="Times New Roman" w:hAnsi="Times New Roman" w:cs="Times New Roman"/>
          <w:snapToGrid w:val="0"/>
        </w:rPr>
        <w:t>valuation.  The supporting data and analysis furnished in the appraisal report shall include the following:</w:t>
      </w:r>
    </w:p>
    <w:p w14:paraId="52E56223"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2EE2BF59"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(1)</w:t>
      </w:r>
      <w:r w:rsidRPr="00B5224E">
        <w:rPr>
          <w:rFonts w:ascii="Times New Roman" w:eastAsia="Times New Roman" w:hAnsi="Times New Roman" w:cs="Times New Roman"/>
          <w:snapToGrid w:val="0"/>
        </w:rPr>
        <w:tab/>
        <w:t>An analysis of the property, from the point of view of evaluating the effect of its characteristics and attributes on its value for the available use or uses for which the property is best suited.  Particular attention shall be given to the characteristics or the property most relevant to its value, such as, in the case of an investment property, the income potential and the expenses of ownership, maintenance, and operation.</w:t>
      </w:r>
    </w:p>
    <w:p w14:paraId="07547A01"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2743C5DF" w14:textId="0E5BD230"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(2)</w:t>
      </w:r>
      <w:r w:rsidRPr="00B5224E">
        <w:rPr>
          <w:rFonts w:ascii="Times New Roman" w:eastAsia="Times New Roman" w:hAnsi="Times New Roman" w:cs="Times New Roman"/>
          <w:snapToGrid w:val="0"/>
        </w:rPr>
        <w:tab/>
        <w:t xml:space="preserve">An identification of the most recent sale of each property appraised and any other sales of such property during the last five (5) years preceding the appraisal.  Such sale(s) of the property </w:t>
      </w:r>
      <w:proofErr w:type="gramStart"/>
      <w:r w:rsidRPr="00B5224E">
        <w:rPr>
          <w:rFonts w:ascii="Times New Roman" w:eastAsia="Times New Roman" w:hAnsi="Times New Roman" w:cs="Times New Roman"/>
          <w:snapToGrid w:val="0"/>
        </w:rPr>
        <w:t>appraised</w:t>
      </w:r>
      <w:proofErr w:type="gramEnd"/>
      <w:r w:rsidRPr="00B5224E">
        <w:rPr>
          <w:rFonts w:ascii="Times New Roman" w:eastAsia="Times New Roman" w:hAnsi="Times New Roman" w:cs="Times New Roman"/>
          <w:snapToGrid w:val="0"/>
        </w:rPr>
        <w:t xml:space="preserve"> and all recent sales of comparable properties considered by the Appraiser in forming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opinion(s) of fair market value shall be verified insofar as practical.  The information furnished with respect to each such sale shall include, among other pertinent facts, the names of the grantor and </w:t>
      </w:r>
      <w:r w:rsidR="002D1EF0">
        <w:rPr>
          <w:rFonts w:ascii="Times New Roman" w:eastAsia="Times New Roman" w:hAnsi="Times New Roman" w:cs="Times New Roman"/>
          <w:snapToGrid w:val="0"/>
        </w:rPr>
        <w:t>subrecipient</w:t>
      </w:r>
      <w:r w:rsidRPr="00B5224E">
        <w:rPr>
          <w:rFonts w:ascii="Times New Roman" w:eastAsia="Times New Roman" w:hAnsi="Times New Roman" w:cs="Times New Roman"/>
          <w:snapToGrid w:val="0"/>
        </w:rPr>
        <w:t>, the date of the sale, the sale price, any special terms or conditions or circumstances of the sale that affected the transaction, and a description of the property and its condition at time of sale in sufficient detail for use in making the appraisal.</w:t>
      </w:r>
    </w:p>
    <w:p w14:paraId="5043CB0F" w14:textId="77777777" w:rsidR="003A5133" w:rsidRPr="00B5224E" w:rsidRDefault="003A5133"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b/>
      </w:r>
    </w:p>
    <w:p w14:paraId="74AA7B65" w14:textId="0532D741" w:rsidR="00391B7F" w:rsidRPr="00B5224E" w:rsidRDefault="003A5133" w:rsidP="00783F4C">
      <w:pPr>
        <w:widowControl w:val="0"/>
        <w:tabs>
          <w:tab w:val="left" w:pos="-1440"/>
        </w:tabs>
        <w:spacing w:after="0" w:line="240" w:lineRule="auto"/>
        <w:ind w:left="1440" w:hanging="144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lastRenderedPageBreak/>
        <w:t xml:space="preserve">            (3)</w:t>
      </w:r>
      <w:r w:rsidRPr="00B5224E">
        <w:rPr>
          <w:rFonts w:ascii="Times New Roman" w:eastAsia="Times New Roman" w:hAnsi="Times New Roman" w:cs="Times New Roman"/>
          <w:snapToGrid w:val="0"/>
        </w:rPr>
        <w:tab/>
      </w:r>
      <w:r w:rsidR="00391B7F" w:rsidRPr="00B5224E">
        <w:rPr>
          <w:rFonts w:ascii="Times New Roman" w:eastAsia="Times New Roman" w:hAnsi="Times New Roman" w:cs="Times New Roman"/>
          <w:snapToGrid w:val="0"/>
        </w:rPr>
        <w:t xml:space="preserve">The analysis that </w:t>
      </w:r>
      <w:r w:rsidR="000862E6">
        <w:rPr>
          <w:rFonts w:ascii="Times New Roman" w:eastAsia="Times New Roman" w:hAnsi="Times New Roman" w:cs="Times New Roman"/>
          <w:snapToGrid w:val="0"/>
        </w:rPr>
        <w:t>constitutes</w:t>
      </w:r>
      <w:r w:rsidR="00391B7F" w:rsidRPr="00B5224E">
        <w:rPr>
          <w:rFonts w:ascii="Times New Roman" w:eastAsia="Times New Roman" w:hAnsi="Times New Roman" w:cs="Times New Roman"/>
          <w:snapToGrid w:val="0"/>
        </w:rPr>
        <w:t xml:space="preserve"> the principal basis for the Appraiser's opinion of the fair market value.  The appraisal report shall contain the Appraiser's evaluation with respect to previous sales of the property appraised and any recent offer of the owner to sell the property.  The appraisal report shall also contain the Appraiser's analysis of each comparable property and its sale in relation to the property appraised.  The Appraiser's analysis shall reflect appropriate allowances for the difference in the time of the sale of the comparable properties and the date of appraisal</w:t>
      </w:r>
      <w:r w:rsidR="00360499">
        <w:rPr>
          <w:rFonts w:ascii="Times New Roman" w:eastAsia="Times New Roman" w:hAnsi="Times New Roman" w:cs="Times New Roman"/>
          <w:snapToGrid w:val="0"/>
        </w:rPr>
        <w:t>,</w:t>
      </w:r>
      <w:r w:rsidR="00391B7F" w:rsidRPr="00B5224E">
        <w:rPr>
          <w:rFonts w:ascii="Times New Roman" w:eastAsia="Times New Roman" w:hAnsi="Times New Roman" w:cs="Times New Roman"/>
          <w:snapToGrid w:val="0"/>
        </w:rPr>
        <w:t xml:space="preserve"> and the differences in the utility, desirability, and productivity of the properties that are pertinent to their relative value.  The appraisal report shall contain a valuation data map showing the location of the property appraised and the comparable properties referred to in the appraisal report.</w:t>
      </w:r>
    </w:p>
    <w:p w14:paraId="07459315"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62A41E7C"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(4)</w:t>
      </w:r>
      <w:r w:rsidRPr="00B5224E">
        <w:rPr>
          <w:rFonts w:ascii="Times New Roman" w:eastAsia="Times New Roman" w:hAnsi="Times New Roman" w:cs="Times New Roman"/>
          <w:snapToGrid w:val="0"/>
        </w:rPr>
        <w:tab/>
        <w:t>All other information, analysis, and estimates considered by the appraiser to be relevant to the estimation of the fair market value of the property.</w:t>
      </w:r>
    </w:p>
    <w:p w14:paraId="6537F28F"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041DF115" w14:textId="29BD0969" w:rsidR="00391B7F" w:rsidRPr="00B5224E" w:rsidRDefault="00391B7F" w:rsidP="0033125E">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(5)</w:t>
      </w:r>
      <w:r w:rsidRPr="00B5224E">
        <w:rPr>
          <w:rFonts w:ascii="Times New Roman" w:eastAsia="Times New Roman" w:hAnsi="Times New Roman" w:cs="Times New Roman"/>
          <w:snapToGrid w:val="0"/>
        </w:rPr>
        <w:tab/>
        <w:t xml:space="preserve">If the property appraised is part of a larger parcel in the same ownership or is less than the entire interest of the owner in the property, the appraisal report shall contain the Appraiser's opinion of just compensation for taking of such property or interest, using the before-and-after method of valuation as interpreted under State law unless it is obvious that there would be no damages or benefits to the remaining property or interest of the owner.  However, if the part or interest to be taken can be more accurately estimated directly, that method may be used if permitted under State law, without estimating the fair market value of the entire property of the owner.  The foregoing opinions of the Appraiser shall be supported in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report by the data and analysis by which </w:t>
      </w:r>
      <w:r w:rsidR="00360499">
        <w:rPr>
          <w:rFonts w:ascii="Times New Roman" w:eastAsia="Times New Roman" w:hAnsi="Times New Roman" w:cs="Times New Roman"/>
          <w:snapToGrid w:val="0"/>
        </w:rPr>
        <w:t>they</w:t>
      </w:r>
      <w:r w:rsidRPr="00B5224E">
        <w:rPr>
          <w:rFonts w:ascii="Times New Roman" w:eastAsia="Times New Roman" w:hAnsi="Times New Roman" w:cs="Times New Roman"/>
          <w:snapToGrid w:val="0"/>
        </w:rPr>
        <w:t xml:space="preserve"> reached </w:t>
      </w:r>
      <w:r w:rsidR="00360499">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conclusions.</w:t>
      </w:r>
    </w:p>
    <w:p w14:paraId="6DFB9E20" w14:textId="77777777" w:rsidR="003A5133" w:rsidRPr="00B5224E" w:rsidRDefault="003A5133" w:rsidP="0033125E">
      <w:pPr>
        <w:widowControl w:val="0"/>
        <w:spacing w:after="0" w:line="240" w:lineRule="auto"/>
        <w:ind w:left="1440"/>
        <w:jc w:val="both"/>
        <w:rPr>
          <w:rFonts w:ascii="Times New Roman" w:eastAsia="Times New Roman" w:hAnsi="Times New Roman" w:cs="Times New Roman"/>
          <w:snapToGrid w:val="0"/>
        </w:rPr>
      </w:pPr>
    </w:p>
    <w:p w14:paraId="546D9512" w14:textId="30E4BA9D" w:rsidR="00391B7F" w:rsidRPr="00B5224E" w:rsidRDefault="00391B7F" w:rsidP="0033125E">
      <w:pPr>
        <w:widowControl w:val="0"/>
        <w:spacing w:after="0" w:line="240" w:lineRule="auto"/>
        <w:ind w:left="144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For information purposes, the appraisal report shall also contain the Appraiser's estimates of the fair market value of the </w:t>
      </w:r>
      <w:r w:rsidR="00360499">
        <w:rPr>
          <w:rFonts w:ascii="Times New Roman" w:eastAsia="Times New Roman" w:hAnsi="Times New Roman" w:cs="Times New Roman"/>
          <w:snapToGrid w:val="0"/>
        </w:rPr>
        <w:t>to-be-acquired</w:t>
      </w:r>
      <w:r w:rsidRPr="00B5224E">
        <w:rPr>
          <w:rFonts w:ascii="Times New Roman" w:eastAsia="Times New Roman" w:hAnsi="Times New Roman" w:cs="Times New Roman"/>
          <w:snapToGrid w:val="0"/>
        </w:rPr>
        <w:t xml:space="preserve"> part of the whole property and the net damages or benefits to the remaining property of the owner.  If in the opinion of the Appraiser, acquisition of the part of, or interest in, the property proposed for acquisition would leave the owner with an uneconomic remnant, the Appraiser shall furnish a separate estimate of the fair market value of a "parcel" comprising both the parcel proposed for acquisition and the uneconomic remnant. (A remainder parcel or interest shall </w:t>
      </w:r>
      <w:proofErr w:type="gramStart"/>
      <w:r w:rsidRPr="00B5224E">
        <w:rPr>
          <w:rFonts w:ascii="Times New Roman" w:eastAsia="Times New Roman" w:hAnsi="Times New Roman" w:cs="Times New Roman"/>
          <w:snapToGrid w:val="0"/>
        </w:rPr>
        <w:t>be considered to be</w:t>
      </w:r>
      <w:proofErr w:type="gramEnd"/>
      <w:r w:rsidRPr="00B5224E">
        <w:rPr>
          <w:rFonts w:ascii="Times New Roman" w:eastAsia="Times New Roman" w:hAnsi="Times New Roman" w:cs="Times New Roman"/>
          <w:snapToGrid w:val="0"/>
        </w:rPr>
        <w:t xml:space="preserve"> an uneconomic remnant if</w:t>
      </w:r>
      <w:r w:rsidR="00360499">
        <w:rPr>
          <w:rFonts w:ascii="Times New Roman" w:eastAsia="Times New Roman" w:hAnsi="Times New Roman" w:cs="Times New Roman"/>
          <w:snapToGrid w:val="0"/>
        </w:rPr>
        <w:t>,</w:t>
      </w:r>
      <w:r w:rsidRPr="00B5224E">
        <w:rPr>
          <w:rFonts w:ascii="Times New Roman" w:eastAsia="Times New Roman" w:hAnsi="Times New Roman" w:cs="Times New Roman"/>
          <w:snapToGrid w:val="0"/>
        </w:rPr>
        <w:t xml:space="preserve"> by itself</w:t>
      </w:r>
      <w:r w:rsidR="00360499">
        <w:rPr>
          <w:rFonts w:ascii="Times New Roman" w:eastAsia="Times New Roman" w:hAnsi="Times New Roman" w:cs="Times New Roman"/>
          <w:snapToGrid w:val="0"/>
        </w:rPr>
        <w:t>,</w:t>
      </w:r>
      <w:r w:rsidRPr="00B5224E">
        <w:rPr>
          <w:rFonts w:ascii="Times New Roman" w:eastAsia="Times New Roman" w:hAnsi="Times New Roman" w:cs="Times New Roman"/>
          <w:snapToGrid w:val="0"/>
        </w:rPr>
        <w:t xml:space="preserve"> it has little or no utility or value to the owner.)</w:t>
      </w:r>
    </w:p>
    <w:p w14:paraId="70DF9E56"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69E3A280"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(6)</w:t>
      </w:r>
      <w:r w:rsidRPr="00B5224E">
        <w:rPr>
          <w:rFonts w:ascii="Times New Roman" w:eastAsia="Times New Roman" w:hAnsi="Times New Roman" w:cs="Times New Roman"/>
          <w:snapToGrid w:val="0"/>
        </w:rPr>
        <w:tab/>
        <w:t>Such maps, plans, photographs, or other exhibits, as necessary, to explain or illustrate the analysis of the Appraiser.</w:t>
      </w:r>
    </w:p>
    <w:p w14:paraId="44E871BC"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469B746D" w14:textId="031AD96C"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(7)</w:t>
      </w:r>
      <w:r w:rsidRPr="00B5224E">
        <w:rPr>
          <w:rFonts w:ascii="Times New Roman" w:eastAsia="Times New Roman" w:hAnsi="Times New Roman" w:cs="Times New Roman"/>
          <w:snapToGrid w:val="0"/>
        </w:rPr>
        <w:tab/>
        <w:t xml:space="preserve">The Appraiser's evaluation of the indications of value deduced from </w:t>
      </w:r>
      <w:r w:rsidR="007B3B21">
        <w:rPr>
          <w:rFonts w:ascii="Times New Roman" w:eastAsia="Times New Roman" w:hAnsi="Times New Roman" w:cs="Times New Roman"/>
          <w:snapToGrid w:val="0"/>
        </w:rPr>
        <w:t xml:space="preserve">their </w:t>
      </w:r>
      <w:r w:rsidRPr="00B5224E">
        <w:rPr>
          <w:rFonts w:ascii="Times New Roman" w:eastAsia="Times New Roman" w:hAnsi="Times New Roman" w:cs="Times New Roman"/>
          <w:snapToGrid w:val="0"/>
        </w:rPr>
        <w:t xml:space="preserve">separate analysis of the various </w:t>
      </w:r>
      <w:proofErr w:type="gramStart"/>
      <w:r w:rsidRPr="00B5224E">
        <w:rPr>
          <w:rFonts w:ascii="Times New Roman" w:eastAsia="Times New Roman" w:hAnsi="Times New Roman" w:cs="Times New Roman"/>
          <w:snapToGrid w:val="0"/>
        </w:rPr>
        <w:t>evidences</w:t>
      </w:r>
      <w:proofErr w:type="gramEnd"/>
      <w:r w:rsidRPr="00B5224E">
        <w:rPr>
          <w:rFonts w:ascii="Times New Roman" w:eastAsia="Times New Roman" w:hAnsi="Times New Roman" w:cs="Times New Roman"/>
          <w:snapToGrid w:val="0"/>
        </w:rPr>
        <w:t xml:space="preserve"> of value and an explanation of how </w:t>
      </w:r>
      <w:r w:rsidR="007B3B21">
        <w:rPr>
          <w:rFonts w:ascii="Times New Roman" w:eastAsia="Times New Roman" w:hAnsi="Times New Roman" w:cs="Times New Roman"/>
          <w:snapToGrid w:val="0"/>
        </w:rPr>
        <w:t>they</w:t>
      </w:r>
      <w:r w:rsidRPr="00B5224E">
        <w:rPr>
          <w:rFonts w:ascii="Times New Roman" w:eastAsia="Times New Roman" w:hAnsi="Times New Roman" w:cs="Times New Roman"/>
          <w:snapToGrid w:val="0"/>
        </w:rPr>
        <w:t xml:space="preserve"> reached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w:t>
      </w:r>
      <w:proofErr w:type="gramStart"/>
      <w:r w:rsidRPr="00B5224E">
        <w:rPr>
          <w:rFonts w:ascii="Times New Roman" w:eastAsia="Times New Roman" w:hAnsi="Times New Roman" w:cs="Times New Roman"/>
          <w:snapToGrid w:val="0"/>
        </w:rPr>
        <w:t>final conclusion</w:t>
      </w:r>
      <w:proofErr w:type="gramEnd"/>
      <w:r w:rsidRPr="00B5224E">
        <w:rPr>
          <w:rFonts w:ascii="Times New Roman" w:eastAsia="Times New Roman" w:hAnsi="Times New Roman" w:cs="Times New Roman"/>
          <w:snapToGrid w:val="0"/>
        </w:rPr>
        <w:t xml:space="preserve"> as to the fair market value of the property.</w:t>
      </w:r>
    </w:p>
    <w:p w14:paraId="144A5D23"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6EFCE3C0" w14:textId="1B2D7345" w:rsidR="00391B7F" w:rsidRPr="00B5224E" w:rsidRDefault="00391B7F" w:rsidP="0033125E">
      <w:pPr>
        <w:widowControl w:val="0"/>
        <w:tabs>
          <w:tab w:val="left" w:pos="-1440"/>
        </w:tabs>
        <w:spacing w:after="0" w:line="240" w:lineRule="auto"/>
        <w:ind w:left="810" w:hanging="81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The opinion of the Appraiser as to the fair market value of the land, as if vacant</w:t>
      </w:r>
      <w:r w:rsidRPr="00B5224E">
        <w:rPr>
          <w:rFonts w:ascii="Times New Roman" w:eastAsia="Times New Roman" w:hAnsi="Times New Roman" w:cs="Times New Roman"/>
          <w:snapToGrid w:val="0"/>
        </w:rPr>
        <w:t xml:space="preserve">.  The valuation shall be for the same interest in the land as is to be acquired in the real property.  The report shall contain information with respect to the available use or uses for which the land would be suitable if vacant, the opinion of the Appraiser as to its highest and best use, and the Appraiser's analysis of the evidences of value and of the use potential by which he reached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conclusions as to the highest and best use of the and the land value.</w:t>
      </w:r>
    </w:p>
    <w:p w14:paraId="738610E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52DD77D" w14:textId="09F3A066"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(j)</w:t>
      </w:r>
      <w:r w:rsidRPr="00B5224E">
        <w:rPr>
          <w:rFonts w:ascii="Times New Roman" w:eastAsia="Times New Roman" w:hAnsi="Times New Roman" w:cs="Times New Roman"/>
          <w:snapToGrid w:val="0"/>
        </w:rPr>
        <w:tab/>
        <w:t xml:space="preserve">A </w:t>
      </w:r>
      <w:r w:rsidRPr="00B5224E">
        <w:rPr>
          <w:rFonts w:ascii="Times New Roman" w:eastAsia="Times New Roman" w:hAnsi="Times New Roman" w:cs="Times New Roman"/>
          <w:snapToGrid w:val="0"/>
          <w:u w:val="single"/>
        </w:rPr>
        <w:t>property analysis</w:t>
      </w:r>
      <w:r w:rsidRPr="00B5224E">
        <w:rPr>
          <w:rFonts w:ascii="Times New Roman" w:eastAsia="Times New Roman" w:hAnsi="Times New Roman" w:cs="Times New Roman"/>
          <w:snapToGrid w:val="0"/>
        </w:rPr>
        <w:t xml:space="preserve"> if the property is a commercial, industrial, institutional, governmental, or farm </w:t>
      </w:r>
      <w:r w:rsidRPr="00B5224E">
        <w:rPr>
          <w:rFonts w:ascii="Times New Roman" w:eastAsia="Times New Roman" w:hAnsi="Times New Roman" w:cs="Times New Roman"/>
          <w:snapToGrid w:val="0"/>
        </w:rPr>
        <w:lastRenderedPageBreak/>
        <w:t xml:space="preserve">property that involves substantial quantities and kinds of fixtures such as machinery and equipment.  Any building, structure fixture, or other improvement, which would be real property if owned by the owner of the land, shall </w:t>
      </w:r>
      <w:proofErr w:type="gramStart"/>
      <w:r w:rsidRPr="00B5224E">
        <w:rPr>
          <w:rFonts w:ascii="Times New Roman" w:eastAsia="Times New Roman" w:hAnsi="Times New Roman" w:cs="Times New Roman"/>
          <w:snapToGrid w:val="0"/>
        </w:rPr>
        <w:t>be considered to be</w:t>
      </w:r>
      <w:proofErr w:type="gramEnd"/>
      <w:r w:rsidRPr="00B5224E">
        <w:rPr>
          <w:rFonts w:ascii="Times New Roman" w:eastAsia="Times New Roman" w:hAnsi="Times New Roman" w:cs="Times New Roman"/>
          <w:snapToGrid w:val="0"/>
        </w:rPr>
        <w:t xml:space="preserve"> real property (even if the improvement is the property of a tenant who has the right to remove it or the obligation to remove it at the expiration of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term).  The property analysis must be approved by the Agency before the appraisal is completed</w:t>
      </w:r>
      <w:r w:rsidR="008A3B9C">
        <w:rPr>
          <w:rFonts w:ascii="Times New Roman" w:eastAsia="Times New Roman" w:hAnsi="Times New Roman" w:cs="Times New Roman"/>
          <w:snapToGrid w:val="0"/>
        </w:rPr>
        <w:t>,</w:t>
      </w:r>
      <w:r w:rsidRPr="00B5224E">
        <w:rPr>
          <w:rFonts w:ascii="Times New Roman" w:eastAsia="Times New Roman" w:hAnsi="Times New Roman" w:cs="Times New Roman"/>
          <w:snapToGrid w:val="0"/>
        </w:rPr>
        <w:t xml:space="preserve"> </w:t>
      </w:r>
      <w:r w:rsidR="008A3B9C" w:rsidRPr="00B5224E">
        <w:rPr>
          <w:rFonts w:ascii="Times New Roman" w:eastAsia="Times New Roman" w:hAnsi="Times New Roman" w:cs="Times New Roman"/>
          <w:snapToGrid w:val="0"/>
        </w:rPr>
        <w:t>and</w:t>
      </w:r>
      <w:r w:rsidRPr="00B5224E">
        <w:rPr>
          <w:rFonts w:ascii="Times New Roman" w:eastAsia="Times New Roman" w:hAnsi="Times New Roman" w:cs="Times New Roman"/>
          <w:snapToGrid w:val="0"/>
        </w:rPr>
        <w:t xml:space="preserve"> as approved by the Agency, shall be included as an exhibit in the Appraiser's report.  The property analysis shall list, identify, and classify as to ownership and type of improvement, all items of physical property considered to be part of the real property.  The property analysis shall also identify tangible personal property located on the premises to the extent reasonably necessary to prevent misunderstandings as to what is regarded as being real or personal property.  Buildings, structures, fixtures</w:t>
      </w:r>
      <w:r w:rsidR="0021252E">
        <w:rPr>
          <w:rFonts w:ascii="Times New Roman" w:eastAsia="Times New Roman" w:hAnsi="Times New Roman" w:cs="Times New Roman"/>
          <w:snapToGrid w:val="0"/>
        </w:rPr>
        <w:t>,</w:t>
      </w:r>
      <w:r w:rsidRPr="00B5224E">
        <w:rPr>
          <w:rFonts w:ascii="Times New Roman" w:eastAsia="Times New Roman" w:hAnsi="Times New Roman" w:cs="Times New Roman"/>
          <w:snapToGrid w:val="0"/>
        </w:rPr>
        <w:t xml:space="preserve"> and other improvements, including their accessories and spare parts, shall be identified and classified as to ownership and type of property as follows:</w:t>
      </w:r>
    </w:p>
    <w:p w14:paraId="637805D2"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FBAE9C1"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(1)</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Ownership</w:t>
      </w:r>
      <w:r w:rsidRPr="00B5224E">
        <w:rPr>
          <w:rFonts w:ascii="Times New Roman" w:eastAsia="Times New Roman" w:hAnsi="Times New Roman" w:cs="Times New Roman"/>
          <w:snapToGrid w:val="0"/>
        </w:rPr>
        <w:t>.</w:t>
      </w:r>
    </w:p>
    <w:p w14:paraId="3A0FF5F2"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103523F7" w14:textId="77777777" w:rsidR="00391B7F" w:rsidRPr="00B5224E" w:rsidRDefault="00391B7F" w:rsidP="00783F4C">
      <w:pPr>
        <w:widowControl w:val="0"/>
        <w:spacing w:after="0" w:line="240" w:lineRule="auto"/>
        <w:ind w:firstLine="144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w:t>
      </w:r>
      <w:r w:rsidRPr="00B5224E">
        <w:rPr>
          <w:rFonts w:ascii="Times New Roman" w:eastAsia="Times New Roman" w:hAnsi="Times New Roman" w:cs="Times New Roman"/>
          <w:snapToGrid w:val="0"/>
        </w:rPr>
        <w:tab/>
        <w:t>Owner of the land.</w:t>
      </w:r>
    </w:p>
    <w:p w14:paraId="5630AD66"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D3726B4" w14:textId="77777777" w:rsidR="00391B7F" w:rsidRPr="00B5224E" w:rsidRDefault="00391B7F" w:rsidP="00783F4C">
      <w:pPr>
        <w:widowControl w:val="0"/>
        <w:spacing w:after="0" w:line="240" w:lineRule="auto"/>
        <w:ind w:firstLine="144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(ii)</w:t>
      </w:r>
      <w:r w:rsidRPr="00B5224E">
        <w:rPr>
          <w:rFonts w:ascii="Times New Roman" w:eastAsia="Times New Roman" w:hAnsi="Times New Roman" w:cs="Times New Roman"/>
          <w:snapToGrid w:val="0"/>
        </w:rPr>
        <w:tab/>
        <w:t>Each tenant in occupancy.</w:t>
      </w:r>
    </w:p>
    <w:p w14:paraId="61829076"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DDF524C" w14:textId="77777777" w:rsidR="00391B7F" w:rsidRPr="00B5224E" w:rsidRDefault="00391B7F" w:rsidP="00783F4C">
      <w:pPr>
        <w:widowControl w:val="0"/>
        <w:spacing w:after="0" w:line="240" w:lineRule="auto"/>
        <w:ind w:left="216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(iii)</w:t>
      </w:r>
      <w:r w:rsidRPr="00B5224E">
        <w:rPr>
          <w:rFonts w:ascii="Times New Roman" w:eastAsia="Times New Roman" w:hAnsi="Times New Roman" w:cs="Times New Roman"/>
          <w:snapToGrid w:val="0"/>
        </w:rPr>
        <w:tab/>
        <w:t>Each non-occupant owner of any fixture</w:t>
      </w:r>
      <w:r w:rsidR="003A5133" w:rsidRPr="00B5224E">
        <w:rPr>
          <w:rFonts w:ascii="Times New Roman" w:eastAsia="Times New Roman" w:hAnsi="Times New Roman" w:cs="Times New Roman"/>
          <w:snapToGrid w:val="0"/>
        </w:rPr>
        <w:t xml:space="preserve">s or other improvements, or personal property on </w:t>
      </w:r>
      <w:r w:rsidRPr="00B5224E">
        <w:rPr>
          <w:rFonts w:ascii="Times New Roman" w:eastAsia="Times New Roman" w:hAnsi="Times New Roman" w:cs="Times New Roman"/>
          <w:snapToGrid w:val="0"/>
        </w:rPr>
        <w:t>the premises.</w:t>
      </w:r>
    </w:p>
    <w:p w14:paraId="2BA226A1"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AB1E747"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(2)</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Type of property</w:t>
      </w:r>
      <w:r w:rsidRPr="00B5224E">
        <w:rPr>
          <w:rFonts w:ascii="Times New Roman" w:eastAsia="Times New Roman" w:hAnsi="Times New Roman" w:cs="Times New Roman"/>
          <w:snapToGrid w:val="0"/>
        </w:rPr>
        <w:t>.</w:t>
      </w:r>
    </w:p>
    <w:p w14:paraId="17AD93B2"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6801153" w14:textId="77777777" w:rsidR="00391B7F" w:rsidRPr="00B5224E" w:rsidRDefault="00391B7F" w:rsidP="00783F4C">
      <w:pPr>
        <w:widowControl w:val="0"/>
        <w:spacing w:after="0" w:line="240" w:lineRule="auto"/>
        <w:ind w:firstLine="144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w:t>
      </w:r>
      <w:r w:rsidRPr="00B5224E">
        <w:rPr>
          <w:rFonts w:ascii="Times New Roman" w:eastAsia="Times New Roman" w:hAnsi="Times New Roman" w:cs="Times New Roman"/>
          <w:snapToGrid w:val="0"/>
        </w:rPr>
        <w:tab/>
        <w:t>Building, structure, or fixed improvement.</w:t>
      </w:r>
    </w:p>
    <w:p w14:paraId="0DE4B5B7"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17FE4F09" w14:textId="77777777" w:rsidR="00391B7F" w:rsidRPr="00B5224E" w:rsidRDefault="00391B7F" w:rsidP="00783F4C">
      <w:pPr>
        <w:widowControl w:val="0"/>
        <w:spacing w:after="0" w:line="240" w:lineRule="auto"/>
        <w:ind w:firstLine="144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(ii)</w:t>
      </w:r>
      <w:r w:rsidRPr="00B5224E">
        <w:rPr>
          <w:rFonts w:ascii="Times New Roman" w:eastAsia="Times New Roman" w:hAnsi="Times New Roman" w:cs="Times New Roman"/>
          <w:snapToGrid w:val="0"/>
        </w:rPr>
        <w:tab/>
        <w:t>Building equipment, removable.</w:t>
      </w:r>
    </w:p>
    <w:p w14:paraId="66204FF1"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6669CB2C" w14:textId="77777777" w:rsidR="00391B7F" w:rsidRPr="00B5224E" w:rsidRDefault="00391B7F" w:rsidP="00783F4C">
      <w:pPr>
        <w:widowControl w:val="0"/>
        <w:tabs>
          <w:tab w:val="left" w:pos="-1440"/>
        </w:tabs>
        <w:spacing w:after="0" w:line="240" w:lineRule="auto"/>
        <w:ind w:left="216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(iii)</w:t>
      </w:r>
      <w:r w:rsidRPr="00B5224E">
        <w:rPr>
          <w:rFonts w:ascii="Times New Roman" w:eastAsia="Times New Roman" w:hAnsi="Times New Roman" w:cs="Times New Roman"/>
          <w:snapToGrid w:val="0"/>
        </w:rPr>
        <w:tab/>
        <w:t>Fixtures, classified as to whether economically removable for reuse, removable for salvage only, or irremovable.</w:t>
      </w:r>
    </w:p>
    <w:p w14:paraId="224FDDCD" w14:textId="77777777" w:rsidR="00391B7F" w:rsidRPr="00B5224E" w:rsidRDefault="00391B7F" w:rsidP="00783F4C">
      <w:pPr>
        <w:widowControl w:val="0"/>
        <w:tabs>
          <w:tab w:val="left" w:pos="-1440"/>
        </w:tabs>
        <w:spacing w:after="0" w:line="240" w:lineRule="auto"/>
        <w:ind w:left="216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(iv)</w:t>
      </w:r>
      <w:r w:rsidRPr="00B5224E">
        <w:rPr>
          <w:rFonts w:ascii="Times New Roman" w:eastAsia="Times New Roman" w:hAnsi="Times New Roman" w:cs="Times New Roman"/>
          <w:snapToGrid w:val="0"/>
        </w:rPr>
        <w:tab/>
        <w:t xml:space="preserve">Personal property, identified as to types and approximate amounts, or </w:t>
      </w:r>
    </w:p>
    <w:p w14:paraId="61FCC23C" w14:textId="77777777" w:rsidR="00391B7F" w:rsidRPr="00B5224E" w:rsidRDefault="00391B7F" w:rsidP="00783F4C">
      <w:pPr>
        <w:widowControl w:val="0"/>
        <w:tabs>
          <w:tab w:val="left" w:pos="-1440"/>
        </w:tabs>
        <w:spacing w:after="0" w:line="240" w:lineRule="auto"/>
        <w:ind w:left="216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otherwise, as needed to prevent misunderstandings as to the classification of any item.</w:t>
      </w:r>
    </w:p>
    <w:p w14:paraId="2DBF0D7D" w14:textId="77777777" w:rsidR="00391B7F" w:rsidRPr="00B5224E" w:rsidRDefault="00391B7F" w:rsidP="00783F4C">
      <w:pPr>
        <w:widowControl w:val="0"/>
        <w:spacing w:after="0" w:line="240" w:lineRule="auto"/>
        <w:ind w:left="720"/>
        <w:jc w:val="both"/>
        <w:rPr>
          <w:rFonts w:ascii="Times New Roman" w:eastAsia="Times New Roman" w:hAnsi="Times New Roman" w:cs="Times New Roman"/>
          <w:snapToGrid w:val="0"/>
        </w:rPr>
      </w:pPr>
    </w:p>
    <w:p w14:paraId="25518742" w14:textId="77777777" w:rsidR="00391B7F" w:rsidRPr="00B5224E" w:rsidRDefault="00391B7F" w:rsidP="0033125E">
      <w:pPr>
        <w:widowControl w:val="0"/>
        <w:spacing w:after="0" w:line="240" w:lineRule="auto"/>
        <w:ind w:left="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If any building, structure, fixture of other improvement is not to be acquired, it will not be adversely affected by the Agency's project, and will not be required by the agency to be removed, such as a pipeline in an easement not to be acquired, such improvement shall be identified as excluded from the appraisal.</w:t>
      </w:r>
    </w:p>
    <w:p w14:paraId="6B62F1B3"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0599A860" w14:textId="19D1E3E0"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(k)</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If machinery and equipment or other fixtures</w:t>
      </w:r>
      <w:r w:rsidRPr="00B5224E">
        <w:rPr>
          <w:rFonts w:ascii="Times New Roman" w:eastAsia="Times New Roman" w:hAnsi="Times New Roman" w:cs="Times New Roman"/>
          <w:snapToGrid w:val="0"/>
        </w:rPr>
        <w:t xml:space="preserve"> used in a trade or business, farm operation, or institutional or governmental function constitute part of the real property, the appraisal report shall contain a separate schedule </w:t>
      </w:r>
      <w:r w:rsidR="0021252E">
        <w:rPr>
          <w:rFonts w:ascii="Times New Roman" w:eastAsia="Times New Roman" w:hAnsi="Times New Roman" w:cs="Times New Roman"/>
          <w:snapToGrid w:val="0"/>
        </w:rPr>
        <w:t>that</w:t>
      </w:r>
      <w:r w:rsidRPr="00B5224E">
        <w:rPr>
          <w:rFonts w:ascii="Times New Roman" w:eastAsia="Times New Roman" w:hAnsi="Times New Roman" w:cs="Times New Roman"/>
          <w:snapToGrid w:val="0"/>
        </w:rPr>
        <w:t xml:space="preserve"> provides separate estimates for each item, as prescribed below.  If there is more than one owner of such items, a separate schedule shall be furnished for each owner.  The information and conclusions to be furnished on each item are as follows:</w:t>
      </w:r>
    </w:p>
    <w:p w14:paraId="02F2C34E" w14:textId="77777777" w:rsidR="00391B7F" w:rsidRPr="00B5224E" w:rsidRDefault="00391B7F" w:rsidP="0033125E">
      <w:pPr>
        <w:widowControl w:val="0"/>
        <w:spacing w:after="0" w:line="240" w:lineRule="auto"/>
        <w:jc w:val="both"/>
        <w:rPr>
          <w:rFonts w:ascii="Times New Roman" w:eastAsia="Times New Roman" w:hAnsi="Times New Roman" w:cs="Times New Roman"/>
          <w:snapToGrid w:val="0"/>
        </w:rPr>
      </w:pPr>
    </w:p>
    <w:p w14:paraId="29DD94E3"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(1)</w:t>
      </w:r>
      <w:r w:rsidRPr="00B5224E">
        <w:rPr>
          <w:rFonts w:ascii="Times New Roman" w:eastAsia="Times New Roman" w:hAnsi="Times New Roman" w:cs="Times New Roman"/>
          <w:snapToGrid w:val="0"/>
        </w:rPr>
        <w:tab/>
        <w:t>Description of the item, including, as appropriate, the manufacturer, model and serial number, size or capacity, age and condition, and degree of obsolescence.  Accessories and spare parts, special foundations, and power wiring and process piping generally shall be listed separately, following the listing of the item(s) to which they apply.</w:t>
      </w:r>
    </w:p>
    <w:p w14:paraId="680A4E5D"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03010D31"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(2)</w:t>
      </w:r>
      <w:r w:rsidRPr="00B5224E">
        <w:rPr>
          <w:rFonts w:ascii="Times New Roman" w:eastAsia="Times New Roman" w:hAnsi="Times New Roman" w:cs="Times New Roman"/>
          <w:snapToGrid w:val="0"/>
        </w:rPr>
        <w:tab/>
        <w:t>Estimate of the replacement cost installed of the item as listed and identified (exceeding any elements listed separately).  Separately identify the basis of estimated replacement cost (new or used).</w:t>
      </w:r>
    </w:p>
    <w:p w14:paraId="19219836"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4F8AE8EC"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(3)</w:t>
      </w:r>
      <w:r w:rsidRPr="00B5224E">
        <w:rPr>
          <w:rFonts w:ascii="Times New Roman" w:eastAsia="Times New Roman" w:hAnsi="Times New Roman" w:cs="Times New Roman"/>
          <w:snapToGrid w:val="0"/>
        </w:rPr>
        <w:tab/>
        <w:t xml:space="preserve">The contributive (enhancement) value of the item to the fair market value of the real </w:t>
      </w:r>
      <w:proofErr w:type="gramStart"/>
      <w:r w:rsidRPr="00B5224E">
        <w:rPr>
          <w:rFonts w:ascii="Times New Roman" w:eastAsia="Times New Roman" w:hAnsi="Times New Roman" w:cs="Times New Roman"/>
          <w:snapToGrid w:val="0"/>
        </w:rPr>
        <w:t>property as a whole</w:t>
      </w:r>
      <w:proofErr w:type="gramEnd"/>
      <w:r w:rsidRPr="00B5224E">
        <w:rPr>
          <w:rFonts w:ascii="Times New Roman" w:eastAsia="Times New Roman" w:hAnsi="Times New Roman" w:cs="Times New Roman"/>
          <w:snapToGrid w:val="0"/>
        </w:rPr>
        <w:t>.</w:t>
      </w:r>
    </w:p>
    <w:p w14:paraId="296FEF7D"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121E05E6" w14:textId="77777777" w:rsidR="00391B7F" w:rsidRPr="00B5224E" w:rsidRDefault="00391B7F" w:rsidP="0033125E">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(4)</w:t>
      </w:r>
      <w:r w:rsidRPr="00B5224E">
        <w:rPr>
          <w:rFonts w:ascii="Times New Roman" w:eastAsia="Times New Roman" w:hAnsi="Times New Roman" w:cs="Times New Roman"/>
          <w:snapToGrid w:val="0"/>
        </w:rPr>
        <w:tab/>
        <w:t>Estimated fair market value of the item for removal from the property at a purchaser's expense.  Such value shall be considered to be the probable selling price if the item were offered for sale for removal from the property at the purchaser's expense, allowing a reasonable time to find a purchaser buying with knowledge of the uses and purposes for which it is adaptable and capable of being used, including salvage for serviceable components and scrap when it appears that will provide the highest value.</w:t>
      </w:r>
    </w:p>
    <w:p w14:paraId="7194DBDC"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07DEF2A6" w14:textId="376C54BF" w:rsidR="00391B7F" w:rsidRPr="00B5224E" w:rsidRDefault="00391B7F" w:rsidP="0033125E">
      <w:pPr>
        <w:widowControl w:val="0"/>
        <w:spacing w:after="0" w:line="240" w:lineRule="auto"/>
        <w:ind w:left="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The schedule(s) of estimates shall be consistent with the property analysis approved by the Agency, as provided in Paragraph 4 (j).  The Appraiser is permitted to use the services of such technical specialists as may be needed to enable the Appraiser to provide valid estimates and sound valuations.  The schedule(s) shall be supported by an explanation of the procedures followed in gathering the necessary market information and technical data. The principal purpose of the Appraiser's accompanying narrative, however, must be to explain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analysis and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evaluations of the dollar amount of the overall contribution of the machinery, equipment, and fixtures to the fair market value of the real </w:t>
      </w:r>
      <w:proofErr w:type="gramStart"/>
      <w:r w:rsidRPr="00B5224E">
        <w:rPr>
          <w:rFonts w:ascii="Times New Roman" w:eastAsia="Times New Roman" w:hAnsi="Times New Roman" w:cs="Times New Roman"/>
          <w:snapToGrid w:val="0"/>
        </w:rPr>
        <w:t>property as a whole</w:t>
      </w:r>
      <w:proofErr w:type="gramEnd"/>
      <w:r w:rsidRPr="00B5224E">
        <w:rPr>
          <w:rFonts w:ascii="Times New Roman" w:eastAsia="Times New Roman" w:hAnsi="Times New Roman" w:cs="Times New Roman"/>
          <w:snapToGrid w:val="0"/>
        </w:rPr>
        <w:t>.  The report shall contain any layout plans, sketches, or photographs that are reasonably necessary for locating or identifying the facilities or illustrating the Appraiser's analysis.</w:t>
      </w:r>
    </w:p>
    <w:p w14:paraId="769D0D3C"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p>
    <w:p w14:paraId="470B28AF" w14:textId="5291244D"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(l)</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If there are separately held interests</w:t>
      </w:r>
      <w:r w:rsidRPr="00B5224E">
        <w:rPr>
          <w:rFonts w:ascii="Times New Roman" w:eastAsia="Times New Roman" w:hAnsi="Times New Roman" w:cs="Times New Roman"/>
          <w:snapToGrid w:val="0"/>
        </w:rPr>
        <w:t xml:space="preserve"> in the real property to be acquired, such as easements, leasehold, air rights, life estates, and oil, gas, or mineral rights, and the division or ownership is not of such character as to destroy the practical unity of the property, the Appraiser shall apportion </w:t>
      </w:r>
      <w:r w:rsidR="007B3B21">
        <w:rPr>
          <w:rFonts w:ascii="Times New Roman" w:eastAsia="Times New Roman" w:hAnsi="Times New Roman" w:cs="Times New Roman"/>
          <w:snapToGrid w:val="0"/>
        </w:rPr>
        <w:t xml:space="preserve">their </w:t>
      </w:r>
      <w:r w:rsidRPr="00B5224E">
        <w:rPr>
          <w:rFonts w:ascii="Times New Roman" w:eastAsia="Times New Roman" w:hAnsi="Times New Roman" w:cs="Times New Roman"/>
          <w:snapToGrid w:val="0"/>
        </w:rPr>
        <w:t xml:space="preserve">estimate of the fair market value to the property (all interests in the property to be acquired) to each separately held interest.  (However, tenant-owned improvements shall be valued in accordance with Paragraph 4 (m) below.)  The report shall contain the data, analysis, and reasoning by which the Appraiser made the apportionment.  If the "unit rule" is regarded as not applicable because the division of ownership is such as to diminish the fair market value of the </w:t>
      </w:r>
      <w:proofErr w:type="gramStart"/>
      <w:r w:rsidRPr="00B5224E">
        <w:rPr>
          <w:rFonts w:ascii="Times New Roman" w:eastAsia="Times New Roman" w:hAnsi="Times New Roman" w:cs="Times New Roman"/>
          <w:snapToGrid w:val="0"/>
        </w:rPr>
        <w:t>property as a whole, the</w:t>
      </w:r>
      <w:proofErr w:type="gramEnd"/>
      <w:r w:rsidRPr="00B5224E">
        <w:rPr>
          <w:rFonts w:ascii="Times New Roman" w:eastAsia="Times New Roman" w:hAnsi="Times New Roman" w:cs="Times New Roman"/>
          <w:snapToGrid w:val="0"/>
        </w:rPr>
        <w:t xml:space="preserve"> separate interests involved shall be appraised separately.</w:t>
      </w:r>
    </w:p>
    <w:p w14:paraId="54CD245A" w14:textId="77777777" w:rsidR="00391B7F" w:rsidRPr="00B5224E" w:rsidRDefault="00391B7F" w:rsidP="0033125E">
      <w:pPr>
        <w:widowControl w:val="0"/>
        <w:spacing w:after="0" w:line="240" w:lineRule="auto"/>
        <w:jc w:val="both"/>
        <w:rPr>
          <w:rFonts w:ascii="Times New Roman" w:eastAsia="Times New Roman" w:hAnsi="Times New Roman" w:cs="Times New Roman"/>
          <w:snapToGrid w:val="0"/>
        </w:rPr>
      </w:pPr>
    </w:p>
    <w:p w14:paraId="55C2285A" w14:textId="5846CF4D"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(m)</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Tenant-owned improvements</w:t>
      </w:r>
      <w:r w:rsidRPr="00B5224E">
        <w:rPr>
          <w:rFonts w:ascii="Times New Roman" w:eastAsia="Times New Roman" w:hAnsi="Times New Roman" w:cs="Times New Roman"/>
          <w:snapToGrid w:val="0"/>
        </w:rPr>
        <w:t xml:space="preserve">.  If any building, structure, fixture, or other improvement to the property is identified as being the property of a tenant who has the right or obligation to remove it as the expiration of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term, the Appraiser's estimate of the fair market value of the improvement shall be the greatest of (1) the amount which the improvement contributes to the fair market value of the property, (2) the in-place value of the improvement as part of the real property (the depreciated replacement cost of the improvement installed), or (3) the fair market value of the improvement for removal from the property at the purchaser's expense.  The appraisal report shall state the basis for the valuation of the improvement and furnish the data and analysis on which the valuation was made.</w:t>
      </w:r>
    </w:p>
    <w:p w14:paraId="1231BE67"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15520F9D" w14:textId="02514596"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(n)</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If the property is a multi-family or mixed-use</w:t>
      </w:r>
      <w:r w:rsidRPr="00B5224E">
        <w:rPr>
          <w:rFonts w:ascii="Times New Roman" w:eastAsia="Times New Roman" w:hAnsi="Times New Roman" w:cs="Times New Roman"/>
          <w:snapToGrid w:val="0"/>
        </w:rPr>
        <w:t xml:space="preserve"> (residential and non-residential) property and owner of a compensable interest in the property also occupies a dwelling in the property, the Appraiser shall furnish an apportionment of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estimate of the fair market value of the whole property to </w:t>
      </w:r>
      <w:r w:rsidRPr="00B5224E">
        <w:rPr>
          <w:rFonts w:ascii="Times New Roman" w:eastAsia="Times New Roman" w:hAnsi="Times New Roman" w:cs="Times New Roman"/>
          <w:snapToGrid w:val="0"/>
        </w:rPr>
        <w:lastRenderedPageBreak/>
        <w:t>such dwelling and to the remainder of the property.  For the purpose of this paragraph, an occupant of a dwelling shall be considered to own a compensable interest in the property if he holds fee title, a life estate, a 99-year lease, or a lease with not less than 50 years to run from the date of valuation, or holds an interest in a cooperative housing project which includes the right to occupy the dwelling, or is the contract purchaser of any of the foregoing estates or interests, or has a leasehold interest with option to purchase.  The Appraiser's report shall explain how he made the apportionment.</w:t>
      </w:r>
    </w:p>
    <w:p w14:paraId="36FEB5B0"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0F5B3B05"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ARTICLE 5.  </w:t>
      </w:r>
      <w:r w:rsidRPr="00B5224E">
        <w:rPr>
          <w:rFonts w:ascii="Times New Roman" w:eastAsia="Times New Roman" w:hAnsi="Times New Roman" w:cs="Times New Roman"/>
          <w:snapToGrid w:val="0"/>
          <w:u w:val="single"/>
        </w:rPr>
        <w:t xml:space="preserve">Services To Be Provided </w:t>
      </w:r>
      <w:proofErr w:type="gramStart"/>
      <w:r w:rsidRPr="00B5224E">
        <w:rPr>
          <w:rFonts w:ascii="Times New Roman" w:eastAsia="Times New Roman" w:hAnsi="Times New Roman" w:cs="Times New Roman"/>
          <w:snapToGrid w:val="0"/>
          <w:u w:val="single"/>
        </w:rPr>
        <w:t>By</w:t>
      </w:r>
      <w:proofErr w:type="gramEnd"/>
      <w:r w:rsidRPr="00B5224E">
        <w:rPr>
          <w:rFonts w:ascii="Times New Roman" w:eastAsia="Times New Roman" w:hAnsi="Times New Roman" w:cs="Times New Roman"/>
          <w:snapToGrid w:val="0"/>
          <w:u w:val="single"/>
        </w:rPr>
        <w:t xml:space="preserve"> Agency</w:t>
      </w:r>
      <w:r w:rsidRPr="00B5224E">
        <w:rPr>
          <w:rFonts w:ascii="Times New Roman" w:eastAsia="Times New Roman" w:hAnsi="Times New Roman" w:cs="Times New Roman"/>
          <w:snapToGrid w:val="0"/>
        </w:rPr>
        <w:t>.  The Agency agrees to furnish the Appraiser with the following:</w:t>
      </w:r>
    </w:p>
    <w:p w14:paraId="30D7AA69"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2852D74" w14:textId="77777777"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 map or plat</w:t>
      </w:r>
      <w:r w:rsidRPr="00B5224E">
        <w:rPr>
          <w:rFonts w:ascii="Times New Roman" w:eastAsia="Times New Roman" w:hAnsi="Times New Roman" w:cs="Times New Roman"/>
          <w:snapToGrid w:val="0"/>
        </w:rPr>
        <w:t>, based on official records, of the property described in Article 1, showing the boundaries and dimensions of the parcels to be appraised.  Each parcel shall be designated by a number, and the parcel numbers shown on the Appraiser's reports shall correspond to the parcel numbers shown on the map or plat.  However, additional parcel numbers may be assigned by the Appraiser for easements appraised separately or for additional parcels revealed while making the appraisals.  The Appraiser shall promptly advise the Agency of any such additions.</w:t>
      </w:r>
    </w:p>
    <w:p w14:paraId="7196D064" w14:textId="77777777"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p>
    <w:p w14:paraId="31A421C8" w14:textId="0FB16A3D" w:rsidR="00391B7F" w:rsidRPr="00B5224E" w:rsidRDefault="00391B7F" w:rsidP="0033125E">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(b)</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An ownership data report</w:t>
      </w:r>
      <w:r w:rsidRPr="00B5224E">
        <w:rPr>
          <w:rFonts w:ascii="Times New Roman" w:eastAsia="Times New Roman" w:hAnsi="Times New Roman" w:cs="Times New Roman"/>
          <w:snapToGrid w:val="0"/>
        </w:rPr>
        <w:t xml:space="preserve"> for each parcel.  That report will show all estates and interests in the parcel as shown </w:t>
      </w:r>
      <w:r w:rsidR="004E35D1">
        <w:rPr>
          <w:rFonts w:ascii="Times New Roman" w:eastAsia="Times New Roman" w:hAnsi="Times New Roman" w:cs="Times New Roman"/>
          <w:snapToGrid w:val="0"/>
        </w:rPr>
        <w:t>on</w:t>
      </w:r>
      <w:r w:rsidRPr="00B5224E">
        <w:rPr>
          <w:rFonts w:ascii="Times New Roman" w:eastAsia="Times New Roman" w:hAnsi="Times New Roman" w:cs="Times New Roman"/>
          <w:snapToGrid w:val="0"/>
        </w:rPr>
        <w:t xml:space="preserve"> record and consequently shall not be assumed to accurately define the interests to be appraised.  The ownership data report on each parcel</w:t>
      </w:r>
      <w:r w:rsidR="004E35D1">
        <w:rPr>
          <w:rFonts w:ascii="Times New Roman" w:eastAsia="Times New Roman" w:hAnsi="Times New Roman" w:cs="Times New Roman"/>
          <w:snapToGrid w:val="0"/>
        </w:rPr>
        <w:t>,</w:t>
      </w:r>
      <w:r w:rsidRPr="00B5224E">
        <w:rPr>
          <w:rFonts w:ascii="Times New Roman" w:eastAsia="Times New Roman" w:hAnsi="Times New Roman" w:cs="Times New Roman"/>
          <w:snapToGrid w:val="0"/>
        </w:rPr>
        <w:t xml:space="preserve"> as shown on the parcel map</w:t>
      </w:r>
      <w:r w:rsidR="004E35D1">
        <w:rPr>
          <w:rFonts w:ascii="Times New Roman" w:eastAsia="Times New Roman" w:hAnsi="Times New Roman" w:cs="Times New Roman"/>
          <w:snapToGrid w:val="0"/>
        </w:rPr>
        <w:t>,</w:t>
      </w:r>
      <w:r w:rsidRPr="00B5224E">
        <w:rPr>
          <w:rFonts w:ascii="Times New Roman" w:eastAsia="Times New Roman" w:hAnsi="Times New Roman" w:cs="Times New Roman"/>
          <w:snapToGrid w:val="0"/>
        </w:rPr>
        <w:t xml:space="preserve"> will include the following:</w:t>
      </w:r>
    </w:p>
    <w:p w14:paraId="34FF1C98"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07BEF51D"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(1)</w:t>
      </w:r>
      <w:r w:rsidRPr="00B5224E">
        <w:rPr>
          <w:rFonts w:ascii="Times New Roman" w:eastAsia="Times New Roman" w:hAnsi="Times New Roman" w:cs="Times New Roman"/>
          <w:snapToGrid w:val="0"/>
        </w:rPr>
        <w:tab/>
        <w:t xml:space="preserve">The name (and address, if available) of the owner appearing on </w:t>
      </w:r>
      <w:proofErr w:type="gramStart"/>
      <w:r w:rsidRPr="00B5224E">
        <w:rPr>
          <w:rFonts w:ascii="Times New Roman" w:eastAsia="Times New Roman" w:hAnsi="Times New Roman" w:cs="Times New Roman"/>
          <w:snapToGrid w:val="0"/>
        </w:rPr>
        <w:t>record;</w:t>
      </w:r>
      <w:proofErr w:type="gramEnd"/>
    </w:p>
    <w:p w14:paraId="6D072C0D"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9BD16A8"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(2)</w:t>
      </w:r>
      <w:r w:rsidRPr="00B5224E">
        <w:rPr>
          <w:rFonts w:ascii="Times New Roman" w:eastAsia="Times New Roman" w:hAnsi="Times New Roman" w:cs="Times New Roman"/>
          <w:snapToGrid w:val="0"/>
        </w:rPr>
        <w:tab/>
        <w:t xml:space="preserve">The legal description of the parcel as shown by the conveyance(s) by which the record owner acquired </w:t>
      </w:r>
      <w:proofErr w:type="gramStart"/>
      <w:r w:rsidRPr="00B5224E">
        <w:rPr>
          <w:rFonts w:ascii="Times New Roman" w:eastAsia="Times New Roman" w:hAnsi="Times New Roman" w:cs="Times New Roman"/>
          <w:snapToGrid w:val="0"/>
        </w:rPr>
        <w:t>title;</w:t>
      </w:r>
      <w:proofErr w:type="gramEnd"/>
    </w:p>
    <w:p w14:paraId="48A21919"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F35B18D"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(3)</w:t>
      </w:r>
      <w:r w:rsidRPr="00B5224E">
        <w:rPr>
          <w:rFonts w:ascii="Times New Roman" w:eastAsia="Times New Roman" w:hAnsi="Times New Roman" w:cs="Times New Roman"/>
          <w:snapToGrid w:val="0"/>
        </w:rPr>
        <w:tab/>
        <w:t>Identification of the conveyance(s) by which the present owner acquired title, including the date of the conveyance(s); the date, book and page numbers, and place of recordation; the name (and address, if available) of the grantor of such conveyance; the stated consideration; the amount of any mortgages or encumbrances placed on record or to which title was subject at time of conveyance (so far as determinable from an examination of the conveyance); and the amount of any State or local transfer taxes that were based on the amount of the consideration;</w:t>
      </w:r>
    </w:p>
    <w:p w14:paraId="6BD18F9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CFE17B3" w14:textId="1537EB7E"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(4)</w:t>
      </w:r>
      <w:r w:rsidRPr="00B5224E">
        <w:rPr>
          <w:rFonts w:ascii="Times New Roman" w:eastAsia="Times New Roman" w:hAnsi="Times New Roman" w:cs="Times New Roman"/>
          <w:snapToGrid w:val="0"/>
        </w:rPr>
        <w:tab/>
        <w:t xml:space="preserve">Outstanding estates and other rights or interests of record, including easements, use restrictions, mineral rights, leases, and any </w:t>
      </w:r>
      <w:r w:rsidR="004E35D1">
        <w:rPr>
          <w:rFonts w:ascii="Times New Roman" w:eastAsia="Times New Roman" w:hAnsi="Times New Roman" w:cs="Times New Roman"/>
          <w:snapToGrid w:val="0"/>
        </w:rPr>
        <w:t>known</w:t>
      </w:r>
      <w:r w:rsidRPr="00B5224E">
        <w:rPr>
          <w:rFonts w:ascii="Times New Roman" w:eastAsia="Times New Roman" w:hAnsi="Times New Roman" w:cs="Times New Roman"/>
          <w:snapToGrid w:val="0"/>
        </w:rPr>
        <w:t>, but unrecorded, interests of other parties.  Sufficient information shall be furnished to disclose the probable effect of such outstanding interests on the title of the record owner:</w:t>
      </w:r>
    </w:p>
    <w:p w14:paraId="238601FE"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00D49682" w14:textId="77777777"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(5)</w:t>
      </w:r>
      <w:r w:rsidRPr="00B5224E">
        <w:rPr>
          <w:rFonts w:ascii="Times New Roman" w:eastAsia="Times New Roman" w:hAnsi="Times New Roman" w:cs="Times New Roman"/>
          <w:snapToGrid w:val="0"/>
        </w:rPr>
        <w:tab/>
        <w:t xml:space="preserve">Outstanding special assessments, if any, for public improvements such as streets, sidewalks, public utilities, and similar public </w:t>
      </w:r>
      <w:proofErr w:type="gramStart"/>
      <w:r w:rsidRPr="00B5224E">
        <w:rPr>
          <w:rFonts w:ascii="Times New Roman" w:eastAsia="Times New Roman" w:hAnsi="Times New Roman" w:cs="Times New Roman"/>
          <w:snapToGrid w:val="0"/>
        </w:rPr>
        <w:t>facilities;</w:t>
      </w:r>
      <w:proofErr w:type="gramEnd"/>
    </w:p>
    <w:p w14:paraId="0F3CABC7"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1E4BA7A" w14:textId="7A3AEE1E" w:rsidR="00391B7F" w:rsidRPr="00B5224E" w:rsidRDefault="00391B7F" w:rsidP="00783F4C">
      <w:pPr>
        <w:widowControl w:val="0"/>
        <w:tabs>
          <w:tab w:val="left" w:pos="-1440"/>
        </w:tabs>
        <w:spacing w:after="0" w:line="240" w:lineRule="auto"/>
        <w:ind w:left="144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(6)</w:t>
      </w:r>
      <w:r w:rsidRPr="00B5224E">
        <w:rPr>
          <w:rFonts w:ascii="Times New Roman" w:eastAsia="Times New Roman" w:hAnsi="Times New Roman" w:cs="Times New Roman"/>
          <w:snapToGrid w:val="0"/>
        </w:rPr>
        <w:tab/>
        <w:t xml:space="preserve">The amount of real estate taxes for the current year and the assessed valuation </w:t>
      </w:r>
      <w:r w:rsidR="004B1D6D">
        <w:rPr>
          <w:rFonts w:ascii="Times New Roman" w:eastAsia="Times New Roman" w:hAnsi="Times New Roman" w:cs="Times New Roman"/>
          <w:snapToGrid w:val="0"/>
        </w:rPr>
        <w:t xml:space="preserve">are </w:t>
      </w:r>
      <w:r w:rsidRPr="00B5224E">
        <w:rPr>
          <w:rFonts w:ascii="Times New Roman" w:eastAsia="Times New Roman" w:hAnsi="Times New Roman" w:cs="Times New Roman"/>
          <w:snapToGrid w:val="0"/>
        </w:rPr>
        <w:t>stated separately for land and improvements.</w:t>
      </w:r>
    </w:p>
    <w:p w14:paraId="5B08B5D1"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41D29C4E"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(c)</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Legal advice</w:t>
      </w:r>
      <w:r w:rsidRPr="00B5224E">
        <w:rPr>
          <w:rFonts w:ascii="Times New Roman" w:eastAsia="Times New Roman" w:hAnsi="Times New Roman" w:cs="Times New Roman"/>
          <w:snapToGrid w:val="0"/>
        </w:rPr>
        <w:t>, upon request of the Appraiser, on legal matters affecting the appraisal of any property to be appraised.</w:t>
      </w:r>
    </w:p>
    <w:p w14:paraId="16DEB4A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6BADDE3E"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lastRenderedPageBreak/>
        <w:t xml:space="preserve">ARTICLE 6.  </w:t>
      </w:r>
      <w:r w:rsidRPr="00B5224E">
        <w:rPr>
          <w:rFonts w:ascii="Times New Roman" w:eastAsia="Times New Roman" w:hAnsi="Times New Roman" w:cs="Times New Roman"/>
          <w:snapToGrid w:val="0"/>
          <w:u w:val="single"/>
        </w:rPr>
        <w:t>Payment</w:t>
      </w:r>
      <w:r w:rsidRPr="00B5224E">
        <w:rPr>
          <w:rFonts w:ascii="Times New Roman" w:eastAsia="Times New Roman" w:hAnsi="Times New Roman" w:cs="Times New Roman"/>
          <w:snapToGrid w:val="0"/>
        </w:rPr>
        <w:t>.  In consideration of the services provided by the Appraiser under this agreement, the Agency agrees to make payment to the Appraiser upon the submission to the Agency of properly certified invoices, as follows:</w:t>
      </w:r>
    </w:p>
    <w:p w14:paraId="0AD9C6F4"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B5183A8"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w:t>
      </w:r>
      <w:r w:rsidRPr="00B5224E">
        <w:rPr>
          <w:rFonts w:ascii="Times New Roman" w:eastAsia="Times New Roman" w:hAnsi="Times New Roman" w:cs="Times New Roman"/>
          <w:snapToGrid w:val="0"/>
        </w:rPr>
        <w:tab/>
        <w:t>For appraisal reports accepted by the Agency, and for all other services furnished in</w:t>
      </w:r>
    </w:p>
    <w:p w14:paraId="428FF9BD" w14:textId="77777777" w:rsidR="00391B7F" w:rsidRPr="00B5224E" w:rsidRDefault="00391B7F" w:rsidP="00783F4C">
      <w:pPr>
        <w:widowControl w:val="0"/>
        <w:spacing w:after="0" w:line="240" w:lineRule="auto"/>
        <w:ind w:left="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accordance with Article 3, except services furnished in connection with judicial proceedings under Paragraph 3 (b), the updating of appraisals under Paragraph 3 (c), and the valuation of reservations of rights in owners under Paragraph 3 (d), the lump sum of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xml:space="preserve"> dollars, which shall constitute full payment to the Appraiser for all of such services and for all supplies, materials, and equipment used or furnished by the Appraiser and all expenses incurred by the Appraiser in connection with the performance of such services.</w:t>
      </w:r>
    </w:p>
    <w:p w14:paraId="4B1F511A"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p>
    <w:p w14:paraId="30386C38"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(b)</w:t>
      </w:r>
      <w:r w:rsidRPr="00B5224E">
        <w:rPr>
          <w:rFonts w:ascii="Times New Roman" w:eastAsia="Times New Roman" w:hAnsi="Times New Roman" w:cs="Times New Roman"/>
          <w:snapToGrid w:val="0"/>
        </w:rPr>
        <w:tab/>
        <w:t xml:space="preserve">For services furnished by the Appraiser in connection with judicial proceedings as provided in Paragraph 3 (b) (except services as an expert witness in such a proceeding), the updating of appraisals as provided in Paragraph 3 (c), and the valuation of reservations of rights in owners as provided in Paragraph 3 (d),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xml:space="preserve"> dollars per hour or fraction of an hour actually engaged in performing the services, including travel expense and subsistence, shall be borne by the Appraiser.</w:t>
      </w:r>
    </w:p>
    <w:p w14:paraId="65F9C3DC"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AEBCAF8"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(c)</w:t>
      </w:r>
      <w:r w:rsidRPr="00B5224E">
        <w:rPr>
          <w:rFonts w:ascii="Times New Roman" w:eastAsia="Times New Roman" w:hAnsi="Times New Roman" w:cs="Times New Roman"/>
          <w:snapToGrid w:val="0"/>
        </w:rPr>
        <w:tab/>
        <w:t xml:space="preserve">For services and an expert witness for the Agency in judicial proceedings as provided in Paragraph 3 (b), the Appraiser and the Agency hereby agree that the fair and reasonable compensation for the Appraiser's services shall be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xml:space="preserve"> dollars for each day's attendance in court.</w:t>
      </w:r>
    </w:p>
    <w:p w14:paraId="5023141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1F3B1409" w14:textId="77777777" w:rsidR="003A5133" w:rsidRPr="00B5224E" w:rsidRDefault="003A5133" w:rsidP="00783F4C">
      <w:pPr>
        <w:widowControl w:val="0"/>
        <w:spacing w:after="0" w:line="240" w:lineRule="auto"/>
        <w:jc w:val="both"/>
        <w:rPr>
          <w:rFonts w:ascii="Times New Roman" w:eastAsia="Times New Roman" w:hAnsi="Times New Roman" w:cs="Times New Roman"/>
          <w:snapToGrid w:val="0"/>
        </w:rPr>
      </w:pPr>
    </w:p>
    <w:p w14:paraId="57C20333"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ARTICLE 7.  </w:t>
      </w:r>
      <w:r w:rsidRPr="00B5224E">
        <w:rPr>
          <w:rFonts w:ascii="Times New Roman" w:eastAsia="Times New Roman" w:hAnsi="Times New Roman" w:cs="Times New Roman"/>
          <w:snapToGrid w:val="0"/>
          <w:u w:val="single"/>
        </w:rPr>
        <w:t>Agreements of Appraiser</w:t>
      </w:r>
      <w:r w:rsidRPr="00B5224E">
        <w:rPr>
          <w:rFonts w:ascii="Times New Roman" w:eastAsia="Times New Roman" w:hAnsi="Times New Roman" w:cs="Times New Roman"/>
          <w:snapToGrid w:val="0"/>
        </w:rPr>
        <w:t>.  As an inducement to the execution of this agreement by the Agency in consideration of the agreements to be performed by the Agency, the Appraiser agrees to the following:</w:t>
      </w:r>
    </w:p>
    <w:p w14:paraId="562C75D1"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8FE77AF" w14:textId="5C0254A3"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Qualifications</w:t>
      </w:r>
      <w:r w:rsidRPr="00B5224E">
        <w:rPr>
          <w:rFonts w:ascii="Times New Roman" w:eastAsia="Times New Roman" w:hAnsi="Times New Roman" w:cs="Times New Roman"/>
          <w:snapToGrid w:val="0"/>
        </w:rPr>
        <w:t xml:space="preserve">.  The Appraiser is qualified to perform the services to be furnished under this agreement and is permitted by law to perform such services, and all personnel engaged in the work shall be qualified and so permitted to do the work they perform.  Attached as Attachment B, is a statement by the Appraiser, certified by him to be true and correct, setting forth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technical qualifications, general appraisal experience, specific experience in appraising properties of the type involved in this agreement, the courts in which he has testified as an expert witness, and other information pertinent to establishing </w:t>
      </w:r>
      <w:r w:rsidR="007B3B21">
        <w:rPr>
          <w:rFonts w:ascii="Times New Roman" w:eastAsia="Times New Roman" w:hAnsi="Times New Roman" w:cs="Times New Roman"/>
          <w:snapToGrid w:val="0"/>
        </w:rPr>
        <w:t>their</w:t>
      </w:r>
      <w:r w:rsidRPr="00B5224E">
        <w:rPr>
          <w:rFonts w:ascii="Times New Roman" w:eastAsia="Times New Roman" w:hAnsi="Times New Roman" w:cs="Times New Roman"/>
          <w:snapToGrid w:val="0"/>
        </w:rPr>
        <w:t xml:space="preserve"> technical qualifications.</w:t>
      </w:r>
    </w:p>
    <w:p w14:paraId="664355AD"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B55A605"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(b)</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Solicitation of Agreement</w:t>
      </w:r>
      <w:r w:rsidRPr="00B5224E">
        <w:rPr>
          <w:rFonts w:ascii="Times New Roman" w:eastAsia="Times New Roman" w:hAnsi="Times New Roman" w:cs="Times New Roman"/>
          <w:snapToGrid w:val="0"/>
        </w:rPr>
        <w:t>.  The Appraiser has not employed any person to solicit this agreement and has not made, and will not make, any payment or any agreement for the payment of any commission, percentage, brokerage, contingent fee, or other compensation in connection with the procurement of this agreement.</w:t>
      </w:r>
    </w:p>
    <w:p w14:paraId="1A965116"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2A15D710"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(c)</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Interests of Appraiser and Appraiser's Employees</w:t>
      </w:r>
      <w:r w:rsidRPr="00B5224E">
        <w:rPr>
          <w:rFonts w:ascii="Times New Roman" w:eastAsia="Times New Roman" w:hAnsi="Times New Roman" w:cs="Times New Roman"/>
          <w:snapToGrid w:val="0"/>
        </w:rPr>
        <w:t xml:space="preserve">.  The Appraiser does not have any interest (including that of real estate agent or broker), direct or indirect, present or prospective, in any property described in Article 1 or in its sale, or any other interest, whether or not in connection with the property, which would conflict in any manner or degree with the performance of the services and the submission of impartial reports, and has not employed and will not employ, in connection with the services to be furnished under this agreement, any person having any such interest.  Until the property is acquired by the Agency or excluded from its project by resolution of its governing body, the Appraiser and any employees of the Appraiser, so long as they are employed by the </w:t>
      </w:r>
      <w:r w:rsidRPr="00B5224E">
        <w:rPr>
          <w:rFonts w:ascii="Times New Roman" w:eastAsia="Times New Roman" w:hAnsi="Times New Roman" w:cs="Times New Roman"/>
          <w:snapToGrid w:val="0"/>
        </w:rPr>
        <w:lastRenderedPageBreak/>
        <w:t>Appraiser, will not acquire any such interest and will not, for their own account or for other than the Agency, negotiate for any of the property, perform services in connection with the property, or testify voluntarily as a witness in a condemnation or other proceeding with respect to the property.</w:t>
      </w:r>
    </w:p>
    <w:p w14:paraId="7DF4E37C" w14:textId="77777777" w:rsidR="00391B7F" w:rsidRPr="00B5224E" w:rsidRDefault="00391B7F" w:rsidP="00783F4C">
      <w:pPr>
        <w:widowControl w:val="0"/>
        <w:tabs>
          <w:tab w:val="left" w:pos="-1440"/>
        </w:tabs>
        <w:spacing w:after="0" w:line="240" w:lineRule="auto"/>
        <w:jc w:val="both"/>
        <w:rPr>
          <w:rFonts w:ascii="Times New Roman" w:eastAsia="Times New Roman" w:hAnsi="Times New Roman" w:cs="Times New Roman"/>
          <w:snapToGrid w:val="0"/>
        </w:rPr>
      </w:pPr>
    </w:p>
    <w:p w14:paraId="094B48FD"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(d)</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Services To Be Confidential</w:t>
      </w:r>
      <w:r w:rsidRPr="00B5224E">
        <w:rPr>
          <w:rFonts w:ascii="Times New Roman" w:eastAsia="Times New Roman" w:hAnsi="Times New Roman" w:cs="Times New Roman"/>
          <w:snapToGrid w:val="0"/>
        </w:rPr>
        <w:t>.  All services, including reports, opinions, and information, to be furnished under this agreement are confidential and shall not be divulged, in whole or in part, to any person, other than to duly authorized representatives of the Agency, without prior written approval of the Agency, except by testimony under oath in a judicial proceeding or as otherwise required by law.  The Appraiser shall take all necessary steps to ensure that no member of his staff or organization divulges any such information except as may be required by law.</w:t>
      </w:r>
    </w:p>
    <w:p w14:paraId="44FB30F8"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2C95791B"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(e)</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Facilities and Personnel</w:t>
      </w:r>
      <w:r w:rsidRPr="00B5224E">
        <w:rPr>
          <w:rFonts w:ascii="Times New Roman" w:eastAsia="Times New Roman" w:hAnsi="Times New Roman" w:cs="Times New Roman"/>
          <w:snapToGrid w:val="0"/>
        </w:rPr>
        <w:t>.  The Appraiser has and will continue to have proper facilities and personnel to perform the services and work agreed to be performed.  If the Appraiser proposes to employ any person or persons to make any appraisals of machinery and equipment or other specialized elements or attributes of a property appraised under this agreement, the employment of such person or persons for such purpose shall not place the Agency under any obligation of such employee, nor relieve the Appraiser of full responsibility for the faithful performance of the services to be furnished under this agreement.</w:t>
      </w:r>
    </w:p>
    <w:p w14:paraId="1DA6542E"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p>
    <w:p w14:paraId="1BF611B7" w14:textId="15CD91C8"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(f)</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Assignment</w:t>
      </w:r>
      <w:r w:rsidRPr="00B5224E">
        <w:rPr>
          <w:rFonts w:ascii="Times New Roman" w:eastAsia="Times New Roman" w:hAnsi="Times New Roman" w:cs="Times New Roman"/>
          <w:snapToGrid w:val="0"/>
        </w:rPr>
        <w:t xml:space="preserve">.  The Appraiser's rights, obligations, and duties under this agreement shall not be assigned in whole or in </w:t>
      </w:r>
      <w:proofErr w:type="gramStart"/>
      <w:r w:rsidRPr="00B5224E">
        <w:rPr>
          <w:rFonts w:ascii="Times New Roman" w:eastAsia="Times New Roman" w:hAnsi="Times New Roman" w:cs="Times New Roman"/>
          <w:snapToGrid w:val="0"/>
        </w:rPr>
        <w:t>part, but</w:t>
      </w:r>
      <w:proofErr w:type="gramEnd"/>
      <w:r w:rsidRPr="00B5224E">
        <w:rPr>
          <w:rFonts w:ascii="Times New Roman" w:eastAsia="Times New Roman" w:hAnsi="Times New Roman" w:cs="Times New Roman"/>
          <w:snapToGrid w:val="0"/>
        </w:rPr>
        <w:t xml:space="preserve"> shall not prohibit the assignment of the proceeds due under this agreement to a bank </w:t>
      </w:r>
      <w:r w:rsidR="0021254F">
        <w:rPr>
          <w:rFonts w:ascii="Times New Roman" w:eastAsia="Times New Roman" w:hAnsi="Times New Roman" w:cs="Times New Roman"/>
          <w:snapToGrid w:val="0"/>
        </w:rPr>
        <w:t>or</w:t>
      </w:r>
      <w:r w:rsidRPr="00B5224E">
        <w:rPr>
          <w:rFonts w:ascii="Times New Roman" w:eastAsia="Times New Roman" w:hAnsi="Times New Roman" w:cs="Times New Roman"/>
          <w:snapToGrid w:val="0"/>
        </w:rPr>
        <w:t xml:space="preserve"> financial institution.  This agreement may be assigned by the Agency to any corporation, agency, or instrumentality having authority to accept the assignment.</w:t>
      </w:r>
    </w:p>
    <w:p w14:paraId="3041E394"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269E1F0D"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(g)</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Subcontracting</w:t>
      </w:r>
      <w:r w:rsidRPr="00B5224E">
        <w:rPr>
          <w:rFonts w:ascii="Times New Roman" w:eastAsia="Times New Roman" w:hAnsi="Times New Roman" w:cs="Times New Roman"/>
          <w:snapToGrid w:val="0"/>
        </w:rPr>
        <w:t>.  None of the work or services covered by the agreement shall be subcontracted without the prior approval of the Agency.</w:t>
      </w:r>
    </w:p>
    <w:p w14:paraId="722B00AE"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33048E4E"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(h)</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Records</w:t>
      </w:r>
      <w:r w:rsidRPr="00B5224E">
        <w:rPr>
          <w:rFonts w:ascii="Times New Roman" w:eastAsia="Times New Roman" w:hAnsi="Times New Roman" w:cs="Times New Roman"/>
          <w:snapToGrid w:val="0"/>
        </w:rPr>
        <w:t>.  The Appraiser shall maintain records of all details with respect to the services to be performed under this agreement, including one complete copy of each appraisal report and related notes, for three (3) years after delivering the report or until the property is acquired by the Agency or the acquisition is abandoned, whichever is later.</w:t>
      </w:r>
    </w:p>
    <w:p w14:paraId="42C6D796"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63E4B351"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Affidavits of Compliance</w:t>
      </w:r>
      <w:r w:rsidRPr="00B5224E">
        <w:rPr>
          <w:rFonts w:ascii="Times New Roman" w:eastAsia="Times New Roman" w:hAnsi="Times New Roman" w:cs="Times New Roman"/>
          <w:snapToGrid w:val="0"/>
        </w:rPr>
        <w:t>.  The Appraiser will, if requested by the Agency, furnish the Agency affidavits certifying compliance with the provisions of this Article 7.</w:t>
      </w:r>
    </w:p>
    <w:p w14:paraId="6E1831B3"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p>
    <w:p w14:paraId="6F1596B8"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ARTICLE 8.  </w:t>
      </w:r>
      <w:r w:rsidRPr="00B5224E">
        <w:rPr>
          <w:rFonts w:ascii="Times New Roman" w:eastAsia="Times New Roman" w:hAnsi="Times New Roman" w:cs="Times New Roman"/>
          <w:snapToGrid w:val="0"/>
          <w:u w:val="single"/>
        </w:rPr>
        <w:t>Changes</w:t>
      </w:r>
      <w:r w:rsidRPr="00B5224E">
        <w:rPr>
          <w:rFonts w:ascii="Times New Roman" w:eastAsia="Times New Roman" w:hAnsi="Times New Roman" w:cs="Times New Roman"/>
          <w:snapToGrid w:val="0"/>
        </w:rPr>
        <w:t xml:space="preserve">.  The Agency, by written notice to the Appraiser, may modify the scope </w:t>
      </w:r>
    </w:p>
    <w:p w14:paraId="54316126" w14:textId="419128E2"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of </w:t>
      </w:r>
      <w:r w:rsidR="004F0465">
        <w:rPr>
          <w:rFonts w:ascii="Times New Roman" w:eastAsia="Times New Roman" w:hAnsi="Times New Roman" w:cs="Times New Roman"/>
          <w:snapToGrid w:val="0"/>
        </w:rPr>
        <w:t xml:space="preserve">the </w:t>
      </w:r>
      <w:r w:rsidRPr="00B5224E">
        <w:rPr>
          <w:rFonts w:ascii="Times New Roman" w:eastAsia="Times New Roman" w:hAnsi="Times New Roman" w:cs="Times New Roman"/>
          <w:snapToGrid w:val="0"/>
        </w:rPr>
        <w:t>quantity of services to be furnished under this agreement.  If such changes cause and</w:t>
      </w:r>
    </w:p>
    <w:p w14:paraId="6AC9B30F"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increase or decrease in the </w:t>
      </w:r>
      <w:proofErr w:type="gramStart"/>
      <w:r w:rsidRPr="00B5224E">
        <w:rPr>
          <w:rFonts w:ascii="Times New Roman" w:eastAsia="Times New Roman" w:hAnsi="Times New Roman" w:cs="Times New Roman"/>
          <w:snapToGrid w:val="0"/>
        </w:rPr>
        <w:t>amount</w:t>
      </w:r>
      <w:proofErr w:type="gramEnd"/>
      <w:r w:rsidRPr="00B5224E">
        <w:rPr>
          <w:rFonts w:ascii="Times New Roman" w:eastAsia="Times New Roman" w:hAnsi="Times New Roman" w:cs="Times New Roman"/>
          <w:snapToGrid w:val="0"/>
        </w:rPr>
        <w:t xml:space="preserve"> of services to be provided by the Appraiser or in the time</w:t>
      </w:r>
    </w:p>
    <w:p w14:paraId="0E16A3AD" w14:textId="1975A6DC"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required for their performance, </w:t>
      </w:r>
      <w:r w:rsidR="0023009C">
        <w:rPr>
          <w:rFonts w:ascii="Times New Roman" w:eastAsia="Times New Roman" w:hAnsi="Times New Roman" w:cs="Times New Roman"/>
          <w:snapToGrid w:val="0"/>
        </w:rPr>
        <w:t xml:space="preserve">an </w:t>
      </w:r>
      <w:r w:rsidRPr="00B5224E">
        <w:rPr>
          <w:rFonts w:ascii="Times New Roman" w:eastAsia="Times New Roman" w:hAnsi="Times New Roman" w:cs="Times New Roman"/>
          <w:snapToGrid w:val="0"/>
        </w:rPr>
        <w:t>equitable adjustment shall be made in the provisions of this</w:t>
      </w:r>
    </w:p>
    <w:p w14:paraId="4B2C3A0F" w14:textId="3FF9FAB3"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agreement for payments to the Appraiser or for the time for performance of the services</w:t>
      </w:r>
      <w:r w:rsidR="0023009C">
        <w:rPr>
          <w:rFonts w:ascii="Times New Roman" w:eastAsia="Times New Roman" w:hAnsi="Times New Roman" w:cs="Times New Roman"/>
          <w:snapToGrid w:val="0"/>
        </w:rPr>
        <w:t>,</w:t>
      </w:r>
      <w:r w:rsidRPr="00B5224E">
        <w:rPr>
          <w:rFonts w:ascii="Times New Roman" w:eastAsia="Times New Roman" w:hAnsi="Times New Roman" w:cs="Times New Roman"/>
          <w:snapToGrid w:val="0"/>
        </w:rPr>
        <w:t xml:space="preserve"> or for</w:t>
      </w:r>
    </w:p>
    <w:p w14:paraId="19931283" w14:textId="77777777" w:rsidR="00391B7F" w:rsidRPr="00B5224E" w:rsidRDefault="00391B7F" w:rsidP="00783F4C">
      <w:pPr>
        <w:widowControl w:val="0"/>
        <w:tabs>
          <w:tab w:val="left" w:pos="-1440"/>
        </w:tabs>
        <w:spacing w:after="0" w:line="240" w:lineRule="auto"/>
        <w:ind w:left="720" w:hanging="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both, and this agreement shall be modified by agreement of the parties accordingly.</w:t>
      </w:r>
    </w:p>
    <w:p w14:paraId="54E11D2A"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4F31FEA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ARTICLE 9.  </w:t>
      </w:r>
      <w:r w:rsidRPr="00B5224E">
        <w:rPr>
          <w:rFonts w:ascii="Times New Roman" w:eastAsia="Times New Roman" w:hAnsi="Times New Roman" w:cs="Times New Roman"/>
          <w:snapToGrid w:val="0"/>
          <w:u w:val="single"/>
        </w:rPr>
        <w:t>Notices</w:t>
      </w:r>
      <w:r w:rsidRPr="00B5224E">
        <w:rPr>
          <w:rFonts w:ascii="Times New Roman" w:eastAsia="Times New Roman" w:hAnsi="Times New Roman" w:cs="Times New Roman"/>
          <w:snapToGrid w:val="0"/>
        </w:rPr>
        <w:t>.  Any action by the Agency under this agreement may be taken by</w:t>
      </w:r>
    </w:p>
    <w:p w14:paraId="4BE93703" w14:textId="2ADF20E9"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t xml:space="preserve">     </w:t>
      </w:r>
      <w:r w:rsidRPr="00B5224E">
        <w:rPr>
          <w:rFonts w:ascii="Times New Roman" w:eastAsia="Times New Roman" w:hAnsi="Times New Roman" w:cs="Times New Roman"/>
          <w:snapToGrid w:val="0"/>
        </w:rPr>
        <w:t xml:space="preserve">, or such other person(s) as the Agency may, by written notice to the Appraiser, designate for such purpose.  All notices to the Appraiser shall </w:t>
      </w:r>
      <w:proofErr w:type="gramStart"/>
      <w:r w:rsidRPr="00B5224E">
        <w:rPr>
          <w:rFonts w:ascii="Times New Roman" w:eastAsia="Times New Roman" w:hAnsi="Times New Roman" w:cs="Times New Roman"/>
          <w:snapToGrid w:val="0"/>
        </w:rPr>
        <w:t>be considered to be</w:t>
      </w:r>
      <w:proofErr w:type="gramEnd"/>
      <w:r w:rsidRPr="00B5224E">
        <w:rPr>
          <w:rFonts w:ascii="Times New Roman" w:eastAsia="Times New Roman" w:hAnsi="Times New Roman" w:cs="Times New Roman"/>
          <w:snapToGrid w:val="0"/>
        </w:rPr>
        <w:t xml:space="preserve"> properly given if mailed to the address specified below or delivered personally to the Appraiser.  All notices or other papers given to the Agency shall </w:t>
      </w:r>
      <w:proofErr w:type="gramStart"/>
      <w:r w:rsidRPr="00B5224E">
        <w:rPr>
          <w:rFonts w:ascii="Times New Roman" w:eastAsia="Times New Roman" w:hAnsi="Times New Roman" w:cs="Times New Roman"/>
          <w:snapToGrid w:val="0"/>
        </w:rPr>
        <w:t>be considered to be</w:t>
      </w:r>
      <w:proofErr w:type="gramEnd"/>
      <w:r w:rsidRPr="00B5224E">
        <w:rPr>
          <w:rFonts w:ascii="Times New Roman" w:eastAsia="Times New Roman" w:hAnsi="Times New Roman" w:cs="Times New Roman"/>
          <w:snapToGrid w:val="0"/>
        </w:rPr>
        <w:t xml:space="preserve"> sufficiently given if mailed, postage prepaid to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t xml:space="preserve">      </w:t>
      </w:r>
      <w:proofErr w:type="gramStart"/>
      <w:r w:rsidRPr="00B5224E">
        <w:rPr>
          <w:rFonts w:ascii="Times New Roman" w:eastAsia="Times New Roman" w:hAnsi="Times New Roman" w:cs="Times New Roman"/>
          <w:snapToGrid w:val="0"/>
          <w:u w:val="single"/>
        </w:rPr>
        <w:t xml:space="preserve">  </w:t>
      </w:r>
      <w:r w:rsidRPr="00B5224E">
        <w:rPr>
          <w:rFonts w:ascii="Times New Roman" w:eastAsia="Times New Roman" w:hAnsi="Times New Roman" w:cs="Times New Roman"/>
          <w:snapToGrid w:val="0"/>
        </w:rPr>
        <w:t>,</w:t>
      </w:r>
      <w:proofErr w:type="gramEnd"/>
      <w:r w:rsidRPr="00B5224E">
        <w:rPr>
          <w:rFonts w:ascii="Times New Roman" w:eastAsia="Times New Roman" w:hAnsi="Times New Roman" w:cs="Times New Roman"/>
          <w:snapToGrid w:val="0"/>
        </w:rPr>
        <w:t xml:space="preserve"> at </w:t>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rPr>
        <w:t>, or to such other representative or address as the Agency may designate to the Appraiser in writing.</w:t>
      </w:r>
    </w:p>
    <w:p w14:paraId="31126E5D"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07E37D2"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 xml:space="preserve">ARTICLE 10.  </w:t>
      </w:r>
      <w:r w:rsidRPr="00B5224E">
        <w:rPr>
          <w:rFonts w:ascii="Times New Roman" w:eastAsia="Times New Roman" w:hAnsi="Times New Roman" w:cs="Times New Roman"/>
          <w:snapToGrid w:val="0"/>
          <w:u w:val="single"/>
        </w:rPr>
        <w:t>Contract For Professional Services</w:t>
      </w:r>
      <w:r w:rsidRPr="00B5224E">
        <w:rPr>
          <w:rFonts w:ascii="Times New Roman" w:eastAsia="Times New Roman" w:hAnsi="Times New Roman" w:cs="Times New Roman"/>
          <w:snapToGrid w:val="0"/>
        </w:rPr>
        <w:t>.  Contract must include the special Equal Opportunity and Supplemental Conditions found in the Public Facilities chapter of the Handbook.</w:t>
      </w:r>
    </w:p>
    <w:p w14:paraId="2DE403A5"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51A489E8"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IN WITNESS WHEREOF, the Agency and the Appraiser have executed this agreement on or as of the date first above written.</w:t>
      </w:r>
    </w:p>
    <w:p w14:paraId="62431CDC"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rPr>
      </w:pPr>
    </w:p>
    <w:p w14:paraId="49E398E2" w14:textId="77777777" w:rsidR="00391B7F" w:rsidRPr="00B5224E" w:rsidRDefault="00391B7F" w:rsidP="00783F4C">
      <w:pPr>
        <w:widowControl w:val="0"/>
        <w:spacing w:after="0" w:line="240" w:lineRule="auto"/>
        <w:ind w:firstLine="720"/>
        <w:jc w:val="both"/>
        <w:rPr>
          <w:rFonts w:ascii="Times New Roman" w:eastAsia="Times New Roman" w:hAnsi="Times New Roman" w:cs="Times New Roman"/>
          <w:snapToGrid w:val="0"/>
          <w:u w:val="single"/>
        </w:rPr>
      </w:pP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p>
    <w:p w14:paraId="538578EE" w14:textId="77777777" w:rsidR="00391B7F" w:rsidRPr="00B5224E" w:rsidRDefault="00391B7F" w:rsidP="00783F4C">
      <w:pPr>
        <w:widowControl w:val="0"/>
        <w:spacing w:after="0" w:line="240" w:lineRule="auto"/>
        <w:ind w:firstLine="576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(Appraiser)</w:t>
      </w:r>
    </w:p>
    <w:p w14:paraId="16287F21"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b/>
      </w:r>
    </w:p>
    <w:p w14:paraId="5BE93A62"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u w:val="single"/>
        </w:rPr>
      </w:pP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p>
    <w:p w14:paraId="0F282FE1" w14:textId="77777777" w:rsidR="00391B7F" w:rsidRPr="00B5224E" w:rsidRDefault="00391B7F" w:rsidP="00783F4C">
      <w:pPr>
        <w:widowControl w:val="0"/>
        <w:spacing w:after="0" w:line="240" w:lineRule="auto"/>
        <w:ind w:firstLine="576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(Street Address)</w:t>
      </w:r>
    </w:p>
    <w:p w14:paraId="384BA73E"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b/>
      </w:r>
    </w:p>
    <w:p w14:paraId="34B3F2EB"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u w:val="single"/>
        </w:rPr>
      </w:pP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p>
    <w:p w14:paraId="4F10CCC8" w14:textId="77777777" w:rsidR="00391B7F" w:rsidRPr="00B5224E" w:rsidRDefault="00391B7F" w:rsidP="00783F4C">
      <w:pPr>
        <w:widowControl w:val="0"/>
        <w:spacing w:after="0" w:line="240" w:lineRule="auto"/>
        <w:ind w:firstLine="3600"/>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(City)</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t>(State)</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t>(Zip Code)</w:t>
      </w:r>
    </w:p>
    <w:p w14:paraId="7D34F5C7"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b/>
      </w:r>
    </w:p>
    <w:p w14:paraId="0B4020A7"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u w:val="single"/>
        </w:rPr>
      </w:pP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p>
    <w:p w14:paraId="17D082CD"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t>(Agency)</w:t>
      </w:r>
    </w:p>
    <w:p w14:paraId="1D7B270A"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4F904CB7"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rPr>
      </w:pPr>
    </w:p>
    <w:p w14:paraId="78FAD6A6" w14:textId="77777777" w:rsidR="00391B7F" w:rsidRPr="00B5224E" w:rsidRDefault="00391B7F" w:rsidP="00783F4C">
      <w:pPr>
        <w:widowControl w:val="0"/>
        <w:spacing w:after="0" w:line="240" w:lineRule="auto"/>
        <w:ind w:firstLine="2880"/>
        <w:jc w:val="both"/>
        <w:outlineLvl w:val="0"/>
        <w:rPr>
          <w:rFonts w:ascii="Times New Roman" w:eastAsia="Times New Roman" w:hAnsi="Times New Roman" w:cs="Times New Roman"/>
          <w:snapToGrid w:val="0"/>
          <w:u w:val="single"/>
        </w:rPr>
      </w:pPr>
      <w:r w:rsidRPr="00B5224E">
        <w:rPr>
          <w:rFonts w:ascii="Times New Roman" w:eastAsia="Times New Roman" w:hAnsi="Times New Roman" w:cs="Times New Roman"/>
          <w:snapToGrid w:val="0"/>
        </w:rPr>
        <w:t>By:</w:t>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p>
    <w:p w14:paraId="06971CD3" w14:textId="77777777" w:rsidR="00391B7F" w:rsidRPr="00B5224E" w:rsidRDefault="00391B7F" w:rsidP="00783F4C">
      <w:pPr>
        <w:widowControl w:val="0"/>
        <w:spacing w:after="0" w:line="240" w:lineRule="auto"/>
        <w:jc w:val="both"/>
        <w:rPr>
          <w:rFonts w:ascii="Times New Roman" w:eastAsia="Times New Roman" w:hAnsi="Times New Roman" w:cs="Times New Roman"/>
          <w:snapToGrid w:val="0"/>
          <w:u w:val="single"/>
        </w:rPr>
      </w:pPr>
    </w:p>
    <w:p w14:paraId="2A1F701D" w14:textId="77777777" w:rsidR="00391B7F" w:rsidRDefault="00391B7F" w:rsidP="00783F4C">
      <w:pPr>
        <w:widowControl w:val="0"/>
        <w:spacing w:after="0" w:line="240" w:lineRule="auto"/>
        <w:jc w:val="both"/>
        <w:rPr>
          <w:rFonts w:ascii="Times New Roman" w:eastAsia="Times New Roman" w:hAnsi="Times New Roman" w:cs="Times New Roman"/>
          <w:snapToGrid w:val="0"/>
          <w:u w:val="single"/>
        </w:rPr>
      </w:pP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r w:rsidRPr="00B5224E">
        <w:rPr>
          <w:rFonts w:ascii="Times New Roman" w:eastAsia="Times New Roman" w:hAnsi="Times New Roman" w:cs="Times New Roman"/>
          <w:snapToGrid w:val="0"/>
          <w:u w:val="single"/>
        </w:rPr>
        <w:tab/>
      </w:r>
    </w:p>
    <w:p w14:paraId="1BD8397F" w14:textId="77777777" w:rsidR="006F5F40" w:rsidRDefault="006F5F40" w:rsidP="00783F4C">
      <w:pPr>
        <w:widowControl w:val="0"/>
        <w:spacing w:after="0" w:line="240" w:lineRule="auto"/>
        <w:jc w:val="both"/>
        <w:rPr>
          <w:rFonts w:ascii="Times New Roman" w:eastAsia="Times New Roman" w:hAnsi="Times New Roman" w:cs="Times New Roman"/>
          <w:snapToGrid w:val="0"/>
          <w:u w:val="single"/>
        </w:rPr>
      </w:pPr>
    </w:p>
    <w:p w14:paraId="17D065F4" w14:textId="77777777" w:rsidR="006F5F40" w:rsidRDefault="006F5F40" w:rsidP="00783F4C">
      <w:pPr>
        <w:widowControl w:val="0"/>
        <w:spacing w:after="0" w:line="240" w:lineRule="auto"/>
        <w:jc w:val="both"/>
        <w:rPr>
          <w:rFonts w:ascii="Times New Roman" w:eastAsia="Times New Roman" w:hAnsi="Times New Roman" w:cs="Times New Roman"/>
          <w:snapToGrid w:val="0"/>
          <w:u w:val="single"/>
        </w:rPr>
      </w:pPr>
    </w:p>
    <w:p w14:paraId="15330055" w14:textId="77777777" w:rsidR="006F5F40" w:rsidRDefault="006F5F40" w:rsidP="00783F4C">
      <w:pPr>
        <w:widowControl w:val="0"/>
        <w:spacing w:after="0" w:line="240" w:lineRule="auto"/>
        <w:jc w:val="both"/>
        <w:rPr>
          <w:rFonts w:ascii="Times New Roman" w:eastAsia="Times New Roman" w:hAnsi="Times New Roman" w:cs="Times New Roman"/>
          <w:snapToGrid w:val="0"/>
          <w:u w:val="single"/>
        </w:rPr>
      </w:pPr>
    </w:p>
    <w:p w14:paraId="71EE7196" w14:textId="77777777" w:rsidR="006F5F40" w:rsidRDefault="006F5F40" w:rsidP="00783F4C">
      <w:pPr>
        <w:widowControl w:val="0"/>
        <w:spacing w:after="0" w:line="240" w:lineRule="auto"/>
        <w:jc w:val="both"/>
        <w:rPr>
          <w:rFonts w:ascii="Times New Roman" w:eastAsia="Times New Roman" w:hAnsi="Times New Roman" w:cs="Times New Roman"/>
          <w:snapToGrid w:val="0"/>
          <w:u w:val="single"/>
        </w:rPr>
      </w:pPr>
    </w:p>
    <w:p w14:paraId="18A9EC52" w14:textId="77777777" w:rsidR="006F5F40" w:rsidRDefault="006F5F40" w:rsidP="00783F4C">
      <w:pPr>
        <w:widowControl w:val="0"/>
        <w:spacing w:after="0" w:line="240" w:lineRule="auto"/>
        <w:jc w:val="both"/>
        <w:rPr>
          <w:rFonts w:ascii="Times New Roman" w:eastAsia="Times New Roman" w:hAnsi="Times New Roman" w:cs="Times New Roman"/>
          <w:snapToGrid w:val="0"/>
          <w:u w:val="single"/>
        </w:rPr>
      </w:pPr>
    </w:p>
    <w:p w14:paraId="510B0064" w14:textId="77777777" w:rsidR="006F5F40" w:rsidRDefault="006F5F40" w:rsidP="00783F4C">
      <w:pPr>
        <w:widowControl w:val="0"/>
        <w:spacing w:after="0" w:line="240" w:lineRule="auto"/>
        <w:jc w:val="both"/>
        <w:rPr>
          <w:rFonts w:ascii="Times New Roman" w:eastAsia="Times New Roman" w:hAnsi="Times New Roman" w:cs="Times New Roman"/>
          <w:snapToGrid w:val="0"/>
          <w:u w:val="single"/>
        </w:rPr>
      </w:pPr>
    </w:p>
    <w:p w14:paraId="29D801ED" w14:textId="77777777" w:rsidR="006F5F40" w:rsidRDefault="006F5F40" w:rsidP="00391B7F">
      <w:pPr>
        <w:widowControl w:val="0"/>
        <w:spacing w:after="0" w:line="240" w:lineRule="auto"/>
        <w:rPr>
          <w:rFonts w:ascii="Times New Roman" w:eastAsia="Times New Roman" w:hAnsi="Times New Roman" w:cs="Times New Roman"/>
          <w:snapToGrid w:val="0"/>
          <w:u w:val="single"/>
        </w:rPr>
      </w:pPr>
    </w:p>
    <w:p w14:paraId="6DD1F14B" w14:textId="77777777" w:rsidR="006F5F40" w:rsidRDefault="006F5F40" w:rsidP="00391B7F">
      <w:pPr>
        <w:widowControl w:val="0"/>
        <w:spacing w:after="0" w:line="240" w:lineRule="auto"/>
        <w:rPr>
          <w:rFonts w:ascii="Times New Roman" w:eastAsia="Times New Roman" w:hAnsi="Times New Roman" w:cs="Times New Roman"/>
          <w:snapToGrid w:val="0"/>
          <w:u w:val="single"/>
        </w:rPr>
      </w:pPr>
    </w:p>
    <w:p w14:paraId="30540DAC" w14:textId="77777777" w:rsidR="006F5F40" w:rsidRDefault="006F5F40" w:rsidP="00391B7F">
      <w:pPr>
        <w:widowControl w:val="0"/>
        <w:spacing w:after="0" w:line="240" w:lineRule="auto"/>
        <w:rPr>
          <w:rFonts w:ascii="Times New Roman" w:eastAsia="Times New Roman" w:hAnsi="Times New Roman" w:cs="Times New Roman"/>
          <w:snapToGrid w:val="0"/>
          <w:u w:val="single"/>
        </w:rPr>
      </w:pPr>
    </w:p>
    <w:p w14:paraId="6333B1C7" w14:textId="77777777" w:rsidR="006F5F40" w:rsidRDefault="006F5F40" w:rsidP="00391B7F">
      <w:pPr>
        <w:widowControl w:val="0"/>
        <w:spacing w:after="0" w:line="240" w:lineRule="auto"/>
        <w:rPr>
          <w:rFonts w:ascii="Times New Roman" w:eastAsia="Times New Roman" w:hAnsi="Times New Roman" w:cs="Times New Roman"/>
          <w:snapToGrid w:val="0"/>
          <w:u w:val="single"/>
        </w:rPr>
      </w:pPr>
    </w:p>
    <w:p w14:paraId="53127520" w14:textId="77777777" w:rsidR="006F5F40" w:rsidRDefault="006F5F40" w:rsidP="00391B7F">
      <w:pPr>
        <w:widowControl w:val="0"/>
        <w:spacing w:after="0" w:line="240" w:lineRule="auto"/>
        <w:rPr>
          <w:rFonts w:ascii="Times New Roman" w:eastAsia="Times New Roman" w:hAnsi="Times New Roman" w:cs="Times New Roman"/>
          <w:snapToGrid w:val="0"/>
          <w:u w:val="single"/>
        </w:rPr>
      </w:pPr>
    </w:p>
    <w:p w14:paraId="7F3ABFC2" w14:textId="77777777" w:rsidR="00150DCE" w:rsidRDefault="00150DCE" w:rsidP="00391B7F">
      <w:pPr>
        <w:widowControl w:val="0"/>
        <w:spacing w:after="0" w:line="240" w:lineRule="auto"/>
        <w:rPr>
          <w:rFonts w:ascii="Times New Roman" w:eastAsia="Times New Roman" w:hAnsi="Times New Roman" w:cs="Times New Roman"/>
          <w:snapToGrid w:val="0"/>
          <w:u w:val="single"/>
        </w:rPr>
      </w:pPr>
    </w:p>
    <w:p w14:paraId="1EC05B6C" w14:textId="77777777" w:rsidR="006F5F40" w:rsidRDefault="006F5F40" w:rsidP="00391B7F">
      <w:pPr>
        <w:widowControl w:val="0"/>
        <w:spacing w:after="0" w:line="240" w:lineRule="auto"/>
        <w:rPr>
          <w:rFonts w:ascii="Times New Roman" w:eastAsia="Times New Roman" w:hAnsi="Times New Roman" w:cs="Times New Roman"/>
          <w:snapToGrid w:val="0"/>
          <w:u w:val="single"/>
        </w:rPr>
      </w:pPr>
    </w:p>
    <w:p w14:paraId="752EEB7B" w14:textId="77777777" w:rsidR="006F5F40" w:rsidRDefault="006F5F40" w:rsidP="00391B7F">
      <w:pPr>
        <w:widowControl w:val="0"/>
        <w:spacing w:after="0" w:line="240" w:lineRule="auto"/>
        <w:rPr>
          <w:rFonts w:ascii="Times New Roman" w:eastAsia="Times New Roman" w:hAnsi="Times New Roman" w:cs="Times New Roman"/>
          <w:snapToGrid w:val="0"/>
          <w:u w:val="single"/>
        </w:rPr>
      </w:pPr>
    </w:p>
    <w:p w14:paraId="480B8768" w14:textId="77777777" w:rsidR="006F5F40" w:rsidRDefault="006F5F40" w:rsidP="00391B7F">
      <w:pPr>
        <w:widowControl w:val="0"/>
        <w:spacing w:after="0" w:line="240" w:lineRule="auto"/>
        <w:rPr>
          <w:rFonts w:ascii="Times New Roman" w:eastAsia="Times New Roman" w:hAnsi="Times New Roman" w:cs="Times New Roman"/>
          <w:snapToGrid w:val="0"/>
          <w:u w:val="single"/>
        </w:rPr>
      </w:pPr>
    </w:p>
    <w:p w14:paraId="75FBAF25" w14:textId="77777777" w:rsidR="006F5F40" w:rsidRPr="00783F4C" w:rsidRDefault="006F5F40" w:rsidP="006F5F40">
      <w:pPr>
        <w:autoSpaceDE w:val="0"/>
        <w:autoSpaceDN w:val="0"/>
        <w:adjustRightInd w:val="0"/>
        <w:spacing w:after="0" w:line="240" w:lineRule="auto"/>
        <w:rPr>
          <w:rFonts w:ascii="Times New Roman" w:eastAsia="Calibri" w:hAnsi="Times New Roman" w:cs="Times New Roman"/>
          <w:b/>
          <w:bCs/>
          <w:color w:val="000000"/>
        </w:rPr>
      </w:pPr>
      <w:r w:rsidRPr="00783F4C">
        <w:rPr>
          <w:rFonts w:ascii="Times New Roman" w:eastAsia="Calibri" w:hAnsi="Times New Roman" w:cs="Times New Roman"/>
          <w:b/>
          <w:bCs/>
          <w:color w:val="000000"/>
        </w:rPr>
        <w:t>APPENDIX II TO PART 200—CONTRACT PROVISIONS FOR NON-FEDERAL ENTITY CONTRACTS UNDER FEDERAL AWARDS</w:t>
      </w:r>
    </w:p>
    <w:p w14:paraId="6A5F5172"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color w:val="000000"/>
        </w:rPr>
      </w:pPr>
      <w:r w:rsidRPr="00150DCE">
        <w:rPr>
          <w:rFonts w:ascii="Times New Roman" w:eastAsia="Calibri" w:hAnsi="Times New Roman" w:cs="Times New Roman"/>
          <w:color w:val="000000"/>
        </w:rPr>
        <w:t>In addition to other provisions required by the federal agency or non-federal entity, all contracts made by the non-federal entity under the federal award must contain provisions covering the following, as applicable.</w:t>
      </w:r>
    </w:p>
    <w:p w14:paraId="65C474D4" w14:textId="77777777" w:rsidR="00150DCE" w:rsidRPr="00150DCE" w:rsidRDefault="00150DCE" w:rsidP="00150DCE">
      <w:pPr>
        <w:autoSpaceDE w:val="0"/>
        <w:autoSpaceDN w:val="0"/>
        <w:adjustRightInd w:val="0"/>
        <w:spacing w:after="0" w:line="240" w:lineRule="auto"/>
        <w:ind w:left="360" w:hanging="360"/>
        <w:jc w:val="both"/>
        <w:rPr>
          <w:rFonts w:ascii="Times New Roman" w:eastAsia="Calibri" w:hAnsi="Times New Roman" w:cs="Times New Roman"/>
          <w:color w:val="000000"/>
        </w:rPr>
      </w:pPr>
    </w:p>
    <w:p w14:paraId="3CC2E7DF" w14:textId="77777777"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lang w:bidi="en-US"/>
        </w:rPr>
      </w:pPr>
      <w:r w:rsidRPr="00150DCE">
        <w:rPr>
          <w:rFonts w:ascii="Times New Roman" w:eastAsia="Calibri" w:hAnsi="Times New Roman" w:cs="Times New Roman"/>
          <w:color w:val="000000"/>
          <w:lang w:bidi="en-US"/>
        </w:rPr>
        <w:t>Contracts for more than the simplified acquisition threshold,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1C461D59" w14:textId="77777777" w:rsidR="00150DCE" w:rsidRPr="00150DCE" w:rsidRDefault="00150DCE" w:rsidP="00150DCE">
      <w:pPr>
        <w:autoSpaceDE w:val="0"/>
        <w:autoSpaceDN w:val="0"/>
        <w:adjustRightInd w:val="0"/>
        <w:spacing w:after="0" w:line="240" w:lineRule="auto"/>
        <w:ind w:left="360" w:hanging="360"/>
        <w:jc w:val="both"/>
        <w:rPr>
          <w:rFonts w:ascii="Times New Roman" w:eastAsia="Calibri" w:hAnsi="Times New Roman" w:cs="Times New Roman"/>
          <w:color w:val="000000"/>
        </w:rPr>
      </w:pPr>
    </w:p>
    <w:p w14:paraId="48E08FCF" w14:textId="6A85A6DF"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lang w:bidi="en-US"/>
        </w:rPr>
      </w:pPr>
      <w:r w:rsidRPr="00150DCE">
        <w:rPr>
          <w:rFonts w:ascii="Times New Roman" w:eastAsia="Calibri" w:hAnsi="Times New Roman" w:cs="Times New Roman"/>
          <w:color w:val="000000"/>
          <w:lang w:bidi="en-US"/>
        </w:rPr>
        <w:t xml:space="preserve">All contracts </w:t>
      </w:r>
      <w:proofErr w:type="gramStart"/>
      <w:r w:rsidRPr="00150DCE">
        <w:rPr>
          <w:rFonts w:ascii="Times New Roman" w:eastAsia="Calibri" w:hAnsi="Times New Roman" w:cs="Times New Roman"/>
          <w:color w:val="000000"/>
          <w:lang w:bidi="en-US"/>
        </w:rPr>
        <w:t>in excess of</w:t>
      </w:r>
      <w:proofErr w:type="gramEnd"/>
      <w:r w:rsidRPr="00150DCE">
        <w:rPr>
          <w:rFonts w:ascii="Times New Roman" w:eastAsia="Calibri" w:hAnsi="Times New Roman" w:cs="Times New Roman"/>
          <w:color w:val="000000"/>
          <w:lang w:bidi="en-US"/>
        </w:rPr>
        <w:t xml:space="preserve"> $10,000 must address termination for cause and for convenience by the non-federal entity</w:t>
      </w:r>
      <w:r w:rsidR="00D70E1F">
        <w:rPr>
          <w:rFonts w:ascii="Times New Roman" w:eastAsia="Calibri" w:hAnsi="Times New Roman" w:cs="Times New Roman"/>
          <w:color w:val="000000"/>
          <w:lang w:bidi="en-US"/>
        </w:rPr>
        <w:t>,</w:t>
      </w:r>
      <w:r w:rsidRPr="00150DCE">
        <w:rPr>
          <w:rFonts w:ascii="Times New Roman" w:eastAsia="Calibri" w:hAnsi="Times New Roman" w:cs="Times New Roman"/>
          <w:color w:val="000000"/>
          <w:lang w:bidi="en-US"/>
        </w:rPr>
        <w:t xml:space="preserve"> including </w:t>
      </w:r>
      <w:proofErr w:type="gramStart"/>
      <w:r w:rsidRPr="00150DCE">
        <w:rPr>
          <w:rFonts w:ascii="Times New Roman" w:eastAsia="Calibri" w:hAnsi="Times New Roman" w:cs="Times New Roman"/>
          <w:color w:val="000000"/>
          <w:lang w:bidi="en-US"/>
        </w:rPr>
        <w:t>the manner by which</w:t>
      </w:r>
      <w:proofErr w:type="gramEnd"/>
      <w:r w:rsidRPr="00150DCE">
        <w:rPr>
          <w:rFonts w:ascii="Times New Roman" w:eastAsia="Calibri" w:hAnsi="Times New Roman" w:cs="Times New Roman"/>
          <w:color w:val="000000"/>
          <w:lang w:bidi="en-US"/>
        </w:rPr>
        <w:t xml:space="preserve"> it will be </w:t>
      </w:r>
      <w:proofErr w:type="gramStart"/>
      <w:r w:rsidRPr="00150DCE">
        <w:rPr>
          <w:rFonts w:ascii="Times New Roman" w:eastAsia="Calibri" w:hAnsi="Times New Roman" w:cs="Times New Roman"/>
          <w:color w:val="000000"/>
          <w:lang w:bidi="en-US"/>
        </w:rPr>
        <w:t>effected</w:t>
      </w:r>
      <w:proofErr w:type="gramEnd"/>
      <w:r w:rsidRPr="00150DCE">
        <w:rPr>
          <w:rFonts w:ascii="Times New Roman" w:eastAsia="Calibri" w:hAnsi="Times New Roman" w:cs="Times New Roman"/>
          <w:color w:val="000000"/>
          <w:lang w:bidi="en-US"/>
        </w:rPr>
        <w:t xml:space="preserve"> and the basis for settlement.</w:t>
      </w:r>
    </w:p>
    <w:p w14:paraId="69F9E60B" w14:textId="77777777" w:rsidR="00150DCE" w:rsidRPr="00150DCE" w:rsidRDefault="00150DCE" w:rsidP="00150DCE">
      <w:pPr>
        <w:autoSpaceDE w:val="0"/>
        <w:autoSpaceDN w:val="0"/>
        <w:adjustRightInd w:val="0"/>
        <w:spacing w:after="0" w:line="240" w:lineRule="auto"/>
        <w:ind w:left="360" w:hanging="360"/>
        <w:jc w:val="both"/>
        <w:rPr>
          <w:rFonts w:ascii="Times New Roman" w:eastAsia="Calibri" w:hAnsi="Times New Roman" w:cs="Times New Roman"/>
          <w:color w:val="000000"/>
        </w:rPr>
      </w:pPr>
    </w:p>
    <w:p w14:paraId="32FB18C7" w14:textId="77777777"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lang w:bidi="en-US"/>
        </w:rPr>
      </w:pPr>
      <w:r w:rsidRPr="00150DCE">
        <w:rPr>
          <w:rFonts w:ascii="Times New Roman" w:eastAsia="Calibri" w:hAnsi="Times New Roman" w:cs="Times New Roman"/>
          <w:color w:val="000000"/>
          <w:lang w:bidi="en-US"/>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65F24988" w14:textId="77777777" w:rsidR="00150DCE" w:rsidRPr="00150DCE" w:rsidRDefault="00150DCE" w:rsidP="00150DCE">
      <w:pPr>
        <w:autoSpaceDE w:val="0"/>
        <w:autoSpaceDN w:val="0"/>
        <w:adjustRightInd w:val="0"/>
        <w:spacing w:after="0" w:line="240" w:lineRule="auto"/>
        <w:ind w:left="360" w:hanging="360"/>
        <w:jc w:val="both"/>
        <w:rPr>
          <w:rFonts w:ascii="Times New Roman" w:eastAsia="Calibri" w:hAnsi="Times New Roman" w:cs="Times New Roman"/>
          <w:color w:val="000000"/>
        </w:rPr>
      </w:pPr>
    </w:p>
    <w:p w14:paraId="1AFBCBF0" w14:textId="77777777"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lang w:bidi="en-US"/>
        </w:rPr>
      </w:pPr>
      <w:r w:rsidRPr="00150DCE">
        <w:rPr>
          <w:rFonts w:ascii="Times New Roman" w:eastAsia="Calibri" w:hAnsi="Times New Roman" w:cs="Times New Roman"/>
          <w:color w:val="000000"/>
          <w:lang w:bidi="en-US"/>
        </w:rPr>
        <w:t>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w:t>
      </w:r>
    </w:p>
    <w:p w14:paraId="48CB6E62" w14:textId="77777777" w:rsidR="00150DCE" w:rsidRPr="00150DCE" w:rsidRDefault="00150DCE" w:rsidP="00150DCE">
      <w:pPr>
        <w:autoSpaceDE w:val="0"/>
        <w:autoSpaceDN w:val="0"/>
        <w:adjustRightInd w:val="0"/>
        <w:spacing w:after="0" w:line="240" w:lineRule="auto"/>
        <w:ind w:left="360" w:hanging="360"/>
        <w:jc w:val="both"/>
        <w:rPr>
          <w:rFonts w:ascii="Times New Roman" w:eastAsia="Calibri" w:hAnsi="Times New Roman" w:cs="Times New Roman"/>
          <w:color w:val="000000"/>
        </w:rPr>
      </w:pPr>
    </w:p>
    <w:p w14:paraId="3F568848" w14:textId="5658B66E" w:rsidR="00150DCE" w:rsidRPr="00150DCE" w:rsidRDefault="00150DCE" w:rsidP="00150DCE">
      <w:pPr>
        <w:autoSpaceDE w:val="0"/>
        <w:autoSpaceDN w:val="0"/>
        <w:adjustRightInd w:val="0"/>
        <w:spacing w:after="0" w:line="240" w:lineRule="auto"/>
        <w:ind w:left="720" w:hanging="360"/>
        <w:jc w:val="both"/>
        <w:rPr>
          <w:rFonts w:ascii="Times New Roman" w:eastAsia="Calibri" w:hAnsi="Times New Roman" w:cs="Times New Roman"/>
          <w:color w:val="000000"/>
        </w:rPr>
      </w:pPr>
      <w:r w:rsidRPr="00150DCE">
        <w:rPr>
          <w:rFonts w:ascii="Times New Roman" w:eastAsia="Calibri" w:hAnsi="Times New Roman" w:cs="Times New Roman"/>
          <w:color w:val="000000"/>
        </w:rPr>
        <w:t xml:space="preserve">  </w:t>
      </w:r>
      <w:r w:rsidRPr="00150DCE">
        <w:rPr>
          <w:rFonts w:ascii="Times New Roman" w:eastAsia="Calibri" w:hAnsi="Times New Roman" w:cs="Times New Roman"/>
          <w:color w:val="000000"/>
        </w:rPr>
        <w:tab/>
        <w:t>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75B71476" w14:textId="77777777" w:rsidR="00150DCE" w:rsidRPr="00150DCE" w:rsidRDefault="00150DCE" w:rsidP="00150DCE">
      <w:pPr>
        <w:autoSpaceDE w:val="0"/>
        <w:autoSpaceDN w:val="0"/>
        <w:adjustRightInd w:val="0"/>
        <w:spacing w:after="0" w:line="240" w:lineRule="auto"/>
        <w:ind w:left="360" w:hanging="360"/>
        <w:jc w:val="both"/>
        <w:rPr>
          <w:rFonts w:ascii="Times New Roman" w:eastAsia="Calibri" w:hAnsi="Times New Roman" w:cs="Times New Roman"/>
          <w:color w:val="000000"/>
        </w:rPr>
      </w:pPr>
    </w:p>
    <w:p w14:paraId="0B98D8B3" w14:textId="3A0F8521"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lang w:bidi="en-US"/>
        </w:rPr>
      </w:pPr>
      <w:r w:rsidRPr="00150DCE">
        <w:rPr>
          <w:rFonts w:ascii="Times New Roman" w:eastAsia="Calibri" w:hAnsi="Times New Roman" w:cs="Times New Roman"/>
          <w:color w:val="000000"/>
          <w:lang w:bidi="en-US"/>
        </w:rPr>
        <w:t xml:space="preserve">Contract Work Hours and Safety Standards Act (40 U.S.C. 3701–3708). Where applicable, all contracts awarded by the non-federal entity </w:t>
      </w:r>
      <w:proofErr w:type="gramStart"/>
      <w:r w:rsidRPr="00150DCE">
        <w:rPr>
          <w:rFonts w:ascii="Times New Roman" w:eastAsia="Calibri" w:hAnsi="Times New Roman" w:cs="Times New Roman"/>
          <w:color w:val="000000"/>
          <w:lang w:bidi="en-US"/>
        </w:rPr>
        <w:t>in excess of</w:t>
      </w:r>
      <w:proofErr w:type="gramEnd"/>
      <w:r w:rsidRPr="00150DCE">
        <w:rPr>
          <w:rFonts w:ascii="Times New Roman" w:eastAsia="Calibri" w:hAnsi="Times New Roman" w:cs="Times New Roman"/>
          <w:color w:val="000000"/>
          <w:lang w:bidi="en-US"/>
        </w:rPr>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150DCE">
        <w:rPr>
          <w:rFonts w:ascii="Times New Roman" w:eastAsia="Calibri" w:hAnsi="Times New Roman" w:cs="Times New Roman"/>
          <w:color w:val="000000"/>
          <w:lang w:bidi="en-US"/>
        </w:rPr>
        <w:t>on the basis of</w:t>
      </w:r>
      <w:proofErr w:type="gramEnd"/>
      <w:r w:rsidRPr="00150DCE">
        <w:rPr>
          <w:rFonts w:ascii="Times New Roman" w:eastAsia="Calibri" w:hAnsi="Times New Roman" w:cs="Times New Roman"/>
          <w:color w:val="000000"/>
          <w:lang w:bidi="en-US"/>
        </w:rPr>
        <w:t xml:space="preserve"> a standard work week of 40 hours. Work </w:t>
      </w:r>
      <w:proofErr w:type="gramStart"/>
      <w:r w:rsidRPr="00150DCE">
        <w:rPr>
          <w:rFonts w:ascii="Times New Roman" w:eastAsia="Calibri" w:hAnsi="Times New Roman" w:cs="Times New Roman"/>
          <w:color w:val="000000"/>
          <w:lang w:bidi="en-US"/>
        </w:rPr>
        <w:t>in excess of</w:t>
      </w:r>
      <w:proofErr w:type="gramEnd"/>
      <w:r w:rsidRPr="00150DCE">
        <w:rPr>
          <w:rFonts w:ascii="Times New Roman" w:eastAsia="Calibri" w:hAnsi="Times New Roman" w:cs="Times New Roman"/>
          <w:color w:val="000000"/>
          <w:lang w:bidi="en-US"/>
        </w:rPr>
        <w:t xml:space="preserve"> the standard work week is permissible provided that the worker is compensated at a rate of not less than one and a half times the basic rate of pay for all hours worked </w:t>
      </w:r>
      <w:proofErr w:type="gramStart"/>
      <w:r w:rsidRPr="00150DCE">
        <w:rPr>
          <w:rFonts w:ascii="Times New Roman" w:eastAsia="Calibri" w:hAnsi="Times New Roman" w:cs="Times New Roman"/>
          <w:color w:val="000000"/>
          <w:lang w:bidi="en-US"/>
        </w:rPr>
        <w:t>in excess of</w:t>
      </w:r>
      <w:proofErr w:type="gramEnd"/>
      <w:r w:rsidRPr="00150DCE">
        <w:rPr>
          <w:rFonts w:ascii="Times New Roman" w:eastAsia="Calibri" w:hAnsi="Times New Roman" w:cs="Times New Roman"/>
          <w:color w:val="000000"/>
          <w:lang w:bidi="en-US"/>
        </w:rPr>
        <w:t xml:space="preserve"> 40 hours in the work week. The requirements of 40 U.S.C. 3704 are applicable to construction work and provide that no laborer or mechanic must be required to work in surroundings or under working conditions </w:t>
      </w:r>
      <w:r w:rsidR="00D70E1F">
        <w:rPr>
          <w:rFonts w:ascii="Times New Roman" w:eastAsia="Calibri" w:hAnsi="Times New Roman" w:cs="Times New Roman"/>
          <w:color w:val="000000"/>
          <w:lang w:bidi="en-US"/>
        </w:rPr>
        <w:t>that</w:t>
      </w:r>
      <w:r w:rsidRPr="00150DCE">
        <w:rPr>
          <w:rFonts w:ascii="Times New Roman" w:eastAsia="Calibri" w:hAnsi="Times New Roman" w:cs="Times New Roman"/>
          <w:color w:val="000000"/>
          <w:lang w:bidi="en-US"/>
        </w:rPr>
        <w:t xml:space="preserve"> are unsanitary, hazardous</w:t>
      </w:r>
      <w:r w:rsidR="00D70E1F">
        <w:rPr>
          <w:rFonts w:ascii="Times New Roman" w:eastAsia="Calibri" w:hAnsi="Times New Roman" w:cs="Times New Roman"/>
          <w:color w:val="000000"/>
          <w:lang w:bidi="en-US"/>
        </w:rPr>
        <w:t>,</w:t>
      </w:r>
      <w:r w:rsidRPr="00150DCE">
        <w:rPr>
          <w:rFonts w:ascii="Times New Roman" w:eastAsia="Calibri" w:hAnsi="Times New Roman" w:cs="Times New Roman"/>
          <w:color w:val="000000"/>
          <w:lang w:bidi="en-US"/>
        </w:rPr>
        <w:t xml:space="preserve"> or dangerous. These requirements do not apply to the purchases of supplies or materials or articles ordinarily available on the open market, or contracts for transportation or transmission of intelligence.</w:t>
      </w:r>
    </w:p>
    <w:p w14:paraId="01BDF8D0"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color w:val="000000"/>
        </w:rPr>
      </w:pPr>
    </w:p>
    <w:p w14:paraId="6FFEF65C" w14:textId="3C518120"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lang w:bidi="en-US"/>
        </w:rPr>
      </w:pPr>
      <w:r w:rsidRPr="00150DCE">
        <w:rPr>
          <w:rFonts w:ascii="Times New Roman" w:eastAsia="Calibri" w:hAnsi="Times New Roman" w:cs="Times New Roman"/>
          <w:color w:val="000000"/>
          <w:lang w:bidi="en-US"/>
        </w:rPr>
        <w:lastRenderedPageBreak/>
        <w:t>Rights to Inventions Made Under a Contract or Agreement. If the federal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33E2D79"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color w:val="000000"/>
        </w:rPr>
      </w:pPr>
    </w:p>
    <w:p w14:paraId="236343B7" w14:textId="46E85EDB"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lang w:bidi="en-US"/>
        </w:rPr>
      </w:pPr>
      <w:r w:rsidRPr="00150DCE">
        <w:rPr>
          <w:rFonts w:ascii="Times New Roman" w:eastAsia="Calibri" w:hAnsi="Times New Roman" w:cs="Times New Roman"/>
          <w:color w:val="000000"/>
          <w:lang w:bidi="en-US"/>
        </w:rPr>
        <w:t>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32298545"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color w:val="000000"/>
        </w:rPr>
      </w:pPr>
    </w:p>
    <w:p w14:paraId="7DEA6DF9" w14:textId="77777777"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lang w:bidi="en-US"/>
        </w:rPr>
      </w:pPr>
      <w:r w:rsidRPr="00150DCE">
        <w:rPr>
          <w:rFonts w:ascii="Times New Roman" w:eastAsia="Calibri" w:hAnsi="Times New Roman" w:cs="Times New Roman"/>
          <w:color w:val="000000"/>
          <w:lang w:bidi="en-US"/>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589D55B"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color w:val="000000"/>
        </w:rPr>
      </w:pPr>
    </w:p>
    <w:p w14:paraId="33CACD1D" w14:textId="77777777"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lang w:bidi="en-US"/>
        </w:rPr>
      </w:pPr>
      <w:r w:rsidRPr="00150DCE">
        <w:rPr>
          <w:rFonts w:ascii="Times New Roman" w:eastAsia="Calibri" w:hAnsi="Times New Roman" w:cs="Times New Roman"/>
          <w:color w:val="000000"/>
          <w:lang w:bidi="en-US"/>
        </w:rPr>
        <w:t>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w:t>
      </w:r>
    </w:p>
    <w:p w14:paraId="062BAF33"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color w:val="000000"/>
        </w:rPr>
      </w:pPr>
    </w:p>
    <w:p w14:paraId="54ECECF3"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color w:val="000000"/>
        </w:rPr>
      </w:pPr>
      <w:r w:rsidRPr="00150DCE">
        <w:rPr>
          <w:rFonts w:ascii="Times New Roman" w:eastAsia="Calibri" w:hAnsi="Times New Roman" w:cs="Times New Roman"/>
          <w:color w:val="000000"/>
        </w:rPr>
        <w:t xml:space="preserve">Such disclosures are forwarded from tier to </w:t>
      </w:r>
      <w:proofErr w:type="spellStart"/>
      <w:r w:rsidRPr="00150DCE">
        <w:rPr>
          <w:rFonts w:ascii="Times New Roman" w:eastAsia="Calibri" w:hAnsi="Times New Roman" w:cs="Times New Roman"/>
          <w:color w:val="000000"/>
        </w:rPr>
        <w:t>tier</w:t>
      </w:r>
      <w:proofErr w:type="spellEnd"/>
      <w:r w:rsidRPr="00150DCE">
        <w:rPr>
          <w:rFonts w:ascii="Times New Roman" w:eastAsia="Calibri" w:hAnsi="Times New Roman" w:cs="Times New Roman"/>
          <w:color w:val="000000"/>
        </w:rPr>
        <w:t xml:space="preserve"> up to the non-federal award.</w:t>
      </w:r>
    </w:p>
    <w:p w14:paraId="204B13AD"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color w:val="000000"/>
        </w:rPr>
      </w:pPr>
    </w:p>
    <w:p w14:paraId="7B3E8ED0" w14:textId="77777777"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b/>
          <w:bCs/>
          <w:color w:val="000000"/>
          <w:lang w:bidi="en-US"/>
        </w:rPr>
      </w:pPr>
      <w:r w:rsidRPr="00150DCE">
        <w:rPr>
          <w:rFonts w:ascii="Times New Roman" w:eastAsia="Calibri" w:hAnsi="Times New Roman" w:cs="Times New Roman"/>
          <w:b/>
          <w:bCs/>
          <w:color w:val="000000"/>
          <w:lang w:bidi="en-US"/>
        </w:rPr>
        <w:t>See § 200.323.</w:t>
      </w:r>
    </w:p>
    <w:p w14:paraId="29F9BFE5"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color w:val="000000"/>
        </w:rPr>
      </w:pPr>
    </w:p>
    <w:p w14:paraId="6D437141" w14:textId="77777777" w:rsidR="00150DCE" w:rsidRPr="00150DCE" w:rsidRDefault="00150DCE" w:rsidP="00150DCE">
      <w:pPr>
        <w:numPr>
          <w:ilvl w:val="0"/>
          <w:numId w:val="8"/>
        </w:numPr>
        <w:autoSpaceDE w:val="0"/>
        <w:autoSpaceDN w:val="0"/>
        <w:adjustRightInd w:val="0"/>
        <w:spacing w:after="0" w:line="240" w:lineRule="auto"/>
        <w:contextualSpacing/>
        <w:jc w:val="both"/>
        <w:rPr>
          <w:rFonts w:ascii="Times New Roman" w:eastAsia="Calibri" w:hAnsi="Times New Roman" w:cs="Times New Roman"/>
          <w:b/>
          <w:bCs/>
          <w:color w:val="000000"/>
          <w:lang w:bidi="en-US"/>
        </w:rPr>
      </w:pPr>
      <w:r w:rsidRPr="00150DCE">
        <w:rPr>
          <w:rFonts w:ascii="Times New Roman" w:eastAsia="Calibri" w:hAnsi="Times New Roman" w:cs="Times New Roman"/>
          <w:b/>
          <w:bCs/>
          <w:color w:val="000000"/>
          <w:lang w:bidi="en-US"/>
        </w:rPr>
        <w:t>See § 200.216.</w:t>
      </w:r>
    </w:p>
    <w:p w14:paraId="4F5CCC3D" w14:textId="77777777" w:rsidR="00150DCE" w:rsidRPr="00150DCE" w:rsidRDefault="00150DCE" w:rsidP="00150DCE">
      <w:pPr>
        <w:spacing w:after="0" w:line="240" w:lineRule="auto"/>
        <w:jc w:val="both"/>
        <w:rPr>
          <w:rFonts w:ascii="Times New Roman" w:eastAsia="Calibri" w:hAnsi="Times New Roman" w:cs="Times New Roman"/>
          <w:b/>
          <w:bCs/>
          <w:color w:val="000000"/>
        </w:rPr>
      </w:pPr>
    </w:p>
    <w:p w14:paraId="3614234B" w14:textId="77777777" w:rsidR="00150DCE" w:rsidRPr="00150DCE" w:rsidRDefault="00150DCE" w:rsidP="00150DCE">
      <w:pPr>
        <w:numPr>
          <w:ilvl w:val="0"/>
          <w:numId w:val="8"/>
        </w:numPr>
        <w:spacing w:after="0" w:line="240" w:lineRule="auto"/>
        <w:contextualSpacing/>
        <w:jc w:val="both"/>
        <w:rPr>
          <w:rFonts w:ascii="Times New Roman" w:eastAsia="Calibri" w:hAnsi="Times New Roman" w:cs="Times New Roman"/>
          <w:b/>
          <w:bCs/>
          <w:color w:val="000000"/>
          <w:lang w:bidi="en-US"/>
        </w:rPr>
      </w:pPr>
      <w:r w:rsidRPr="00150DCE">
        <w:rPr>
          <w:rFonts w:ascii="Times New Roman" w:eastAsia="Calibri" w:hAnsi="Times New Roman" w:cs="Times New Roman"/>
          <w:b/>
          <w:bCs/>
          <w:color w:val="000000"/>
          <w:lang w:bidi="en-US"/>
        </w:rPr>
        <w:t>See § 200.322.</w:t>
      </w:r>
    </w:p>
    <w:p w14:paraId="3D9AB3A3"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rPr>
      </w:pPr>
    </w:p>
    <w:p w14:paraId="72EA4150"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rPr>
      </w:pPr>
    </w:p>
    <w:p w14:paraId="1FD896BF"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rPr>
      </w:pPr>
      <w:r w:rsidRPr="00150DCE">
        <w:rPr>
          <w:rFonts w:ascii="Times New Roman" w:eastAsia="Calibri" w:hAnsi="Times New Roman" w:cs="Times New Roman"/>
          <w:b/>
          <w:bCs/>
        </w:rPr>
        <w:t>§ 200.323 Procurement of recovered materials.</w:t>
      </w:r>
    </w:p>
    <w:p w14:paraId="531BDA74"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rPr>
      </w:pPr>
    </w:p>
    <w:p w14:paraId="6E986F67"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rPr>
      </w:pPr>
      <w:r w:rsidRPr="00150DCE">
        <w:rPr>
          <w:rFonts w:ascii="Times New Roman" w:eastAsia="Calibri" w:hAnsi="Times New Roman" w:cs="Times New Roman"/>
        </w:rPr>
        <w:t xml:space="preserve">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w:t>
      </w:r>
      <w:r w:rsidRPr="00150DCE">
        <w:rPr>
          <w:rFonts w:ascii="Times New Roman" w:eastAsia="Calibri" w:hAnsi="Times New Roman" w:cs="Times New Roman"/>
        </w:rPr>
        <w:lastRenderedPageBreak/>
        <w:t>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68F6A565"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rPr>
      </w:pPr>
    </w:p>
    <w:p w14:paraId="593411F2"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rPr>
      </w:pPr>
      <w:r w:rsidRPr="00150DCE">
        <w:rPr>
          <w:rFonts w:ascii="Times New Roman" w:eastAsia="Calibri" w:hAnsi="Times New Roman" w:cs="Times New Roman"/>
          <w:b/>
          <w:bCs/>
        </w:rPr>
        <w:t>§ 200.216 Prohibition on certain telecommunications and video surveillance services or equipment.</w:t>
      </w:r>
    </w:p>
    <w:p w14:paraId="3DA14D3A"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rPr>
      </w:pPr>
    </w:p>
    <w:p w14:paraId="701C7B84" w14:textId="77777777" w:rsidR="00150DCE" w:rsidRPr="00150DCE" w:rsidRDefault="00150DCE" w:rsidP="00150DCE">
      <w:pPr>
        <w:numPr>
          <w:ilvl w:val="0"/>
          <w:numId w:val="9"/>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Recipients and subrecipients are prohibited from obligating or expending loan or grant funds to:</w:t>
      </w:r>
    </w:p>
    <w:p w14:paraId="0FBB61CE" w14:textId="77777777" w:rsidR="00150DCE" w:rsidRPr="00150DCE" w:rsidRDefault="00150DCE" w:rsidP="00150DCE">
      <w:pPr>
        <w:autoSpaceDE w:val="0"/>
        <w:autoSpaceDN w:val="0"/>
        <w:adjustRightInd w:val="0"/>
        <w:spacing w:after="0" w:line="240" w:lineRule="auto"/>
        <w:ind w:left="360"/>
        <w:contextualSpacing/>
        <w:jc w:val="both"/>
        <w:rPr>
          <w:rFonts w:ascii="Times New Roman" w:eastAsia="Calibri" w:hAnsi="Times New Roman" w:cs="Times New Roman"/>
          <w:lang w:bidi="en-US"/>
        </w:rPr>
      </w:pPr>
    </w:p>
    <w:p w14:paraId="22A3D037" w14:textId="77777777" w:rsidR="00150DCE" w:rsidRPr="00150DCE" w:rsidRDefault="00150DCE" w:rsidP="00150DCE">
      <w:pPr>
        <w:numPr>
          <w:ilvl w:val="0"/>
          <w:numId w:val="10"/>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 xml:space="preserve">Procure or obtain covered telecommunications equipment or </w:t>
      </w:r>
      <w:proofErr w:type="gramStart"/>
      <w:r w:rsidRPr="00150DCE">
        <w:rPr>
          <w:rFonts w:ascii="Times New Roman" w:eastAsia="Calibri" w:hAnsi="Times New Roman" w:cs="Times New Roman"/>
          <w:lang w:bidi="en-US"/>
        </w:rPr>
        <w:t>services;</w:t>
      </w:r>
      <w:proofErr w:type="gramEnd"/>
    </w:p>
    <w:p w14:paraId="01778030" w14:textId="77777777" w:rsidR="00150DCE" w:rsidRPr="00150DCE" w:rsidRDefault="00150DCE" w:rsidP="00150DCE">
      <w:pPr>
        <w:autoSpaceDE w:val="0"/>
        <w:autoSpaceDN w:val="0"/>
        <w:adjustRightInd w:val="0"/>
        <w:spacing w:after="0" w:line="240" w:lineRule="auto"/>
        <w:ind w:left="720"/>
        <w:contextualSpacing/>
        <w:jc w:val="both"/>
        <w:rPr>
          <w:rFonts w:ascii="Times New Roman" w:eastAsia="Calibri" w:hAnsi="Times New Roman" w:cs="Times New Roman"/>
          <w:lang w:bidi="en-US"/>
        </w:rPr>
      </w:pPr>
    </w:p>
    <w:p w14:paraId="607D595F" w14:textId="77777777" w:rsidR="00150DCE" w:rsidRPr="00150DCE" w:rsidRDefault="00150DCE" w:rsidP="00150DCE">
      <w:pPr>
        <w:numPr>
          <w:ilvl w:val="0"/>
          <w:numId w:val="10"/>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Extend or renew a contract to procure or obtain covered telecommunications equipment or services; or</w:t>
      </w:r>
    </w:p>
    <w:p w14:paraId="43DA8A99" w14:textId="77777777" w:rsidR="00150DCE" w:rsidRPr="00150DCE" w:rsidRDefault="00150DCE" w:rsidP="00150DCE">
      <w:pPr>
        <w:autoSpaceDE w:val="0"/>
        <w:autoSpaceDN w:val="0"/>
        <w:adjustRightInd w:val="0"/>
        <w:spacing w:after="0" w:line="240" w:lineRule="auto"/>
        <w:ind w:left="720"/>
        <w:contextualSpacing/>
        <w:jc w:val="both"/>
        <w:rPr>
          <w:rFonts w:ascii="Times New Roman" w:eastAsia="Calibri" w:hAnsi="Times New Roman" w:cs="Times New Roman"/>
          <w:lang w:bidi="en-US"/>
        </w:rPr>
      </w:pPr>
    </w:p>
    <w:p w14:paraId="3203E2E7" w14:textId="17BD1731" w:rsidR="00150DCE" w:rsidRPr="00150DCE" w:rsidRDefault="00150DCE" w:rsidP="00150DCE">
      <w:pPr>
        <w:numPr>
          <w:ilvl w:val="0"/>
          <w:numId w:val="10"/>
        </w:numPr>
        <w:autoSpaceDE w:val="0"/>
        <w:autoSpaceDN w:val="0"/>
        <w:adjustRightInd w:val="0"/>
        <w:spacing w:after="0" w:line="240" w:lineRule="auto"/>
        <w:contextualSpacing/>
        <w:jc w:val="both"/>
        <w:rPr>
          <w:rFonts w:ascii="Times New Roman" w:eastAsia="Calibri" w:hAnsi="Times New Roman" w:cs="Times New Roman"/>
          <w:lang w:bidi="en-US"/>
        </w:rPr>
      </w:pPr>
      <w:proofErr w:type="gramStart"/>
      <w:r w:rsidRPr="00150DCE">
        <w:rPr>
          <w:rFonts w:ascii="Times New Roman" w:eastAsia="Calibri" w:hAnsi="Times New Roman" w:cs="Times New Roman"/>
          <w:lang w:bidi="en-US"/>
        </w:rPr>
        <w:t>Enter into</w:t>
      </w:r>
      <w:proofErr w:type="gramEnd"/>
      <w:r w:rsidRPr="00150DCE">
        <w:rPr>
          <w:rFonts w:ascii="Times New Roman" w:eastAsia="Calibri" w:hAnsi="Times New Roman" w:cs="Times New Roman"/>
          <w:lang w:bidi="en-US"/>
        </w:rPr>
        <w:t xml:space="preserve"> a contract (or extend or renew a contract) to procure or obtain equipment, services, or systems that </w:t>
      </w:r>
      <w:r w:rsidR="00D70E1F">
        <w:rPr>
          <w:rFonts w:ascii="Times New Roman" w:eastAsia="Calibri" w:hAnsi="Times New Roman" w:cs="Times New Roman"/>
          <w:lang w:bidi="en-US"/>
        </w:rPr>
        <w:t>use</w:t>
      </w:r>
      <w:r w:rsidRPr="00150DCE">
        <w:rPr>
          <w:rFonts w:ascii="Times New Roman" w:eastAsia="Calibri" w:hAnsi="Times New Roman" w:cs="Times New Roman"/>
          <w:lang w:bidi="en-US"/>
        </w:rPr>
        <w:t xml:space="preserve"> covered telecommunications equipment or services as a substantial or essential component of any system, or as critical technology as part of any system. </w:t>
      </w:r>
    </w:p>
    <w:p w14:paraId="5A249128" w14:textId="77777777" w:rsidR="00150DCE" w:rsidRPr="00150DCE" w:rsidRDefault="00150DCE" w:rsidP="00150DCE">
      <w:pPr>
        <w:spacing w:after="0" w:line="240" w:lineRule="auto"/>
        <w:ind w:left="720"/>
        <w:contextualSpacing/>
        <w:rPr>
          <w:rFonts w:ascii="Times New Roman" w:eastAsia="Calibri" w:hAnsi="Times New Roman" w:cs="Times New Roman"/>
          <w:lang w:bidi="en-US"/>
        </w:rPr>
      </w:pPr>
    </w:p>
    <w:p w14:paraId="47E1922F" w14:textId="19EDB174" w:rsidR="00150DCE" w:rsidRPr="00150DCE" w:rsidRDefault="00150DCE" w:rsidP="00150DCE">
      <w:pPr>
        <w:numPr>
          <w:ilvl w:val="0"/>
          <w:numId w:val="9"/>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 xml:space="preserve">As described in Public Law 115–232, </w:t>
      </w:r>
      <w:r w:rsidR="00D70E1F">
        <w:rPr>
          <w:rFonts w:ascii="Times New Roman" w:eastAsia="Calibri" w:hAnsi="Times New Roman" w:cs="Times New Roman"/>
          <w:lang w:bidi="en-US"/>
        </w:rPr>
        <w:t>S</w:t>
      </w:r>
      <w:r w:rsidRPr="00150DCE">
        <w:rPr>
          <w:rFonts w:ascii="Times New Roman" w:eastAsia="Calibri" w:hAnsi="Times New Roman" w:cs="Times New Roman"/>
          <w:lang w:bidi="en-US"/>
        </w:rPr>
        <w:t>ection 889, covered telecommunications equipment is telecommunications equipment produced by Huawei Technologies Company or ZTE Corporation (or any subsidiary or affiliate of such entities).</w:t>
      </w:r>
    </w:p>
    <w:p w14:paraId="33B1E912" w14:textId="77777777" w:rsidR="00150DCE" w:rsidRPr="00150DCE" w:rsidRDefault="00150DCE" w:rsidP="00150DCE">
      <w:pPr>
        <w:spacing w:after="0" w:line="240" w:lineRule="auto"/>
        <w:ind w:left="720"/>
        <w:contextualSpacing/>
        <w:rPr>
          <w:rFonts w:ascii="Times New Roman" w:eastAsia="Calibri" w:hAnsi="Times New Roman" w:cs="Times New Roman"/>
          <w:lang w:bidi="en-US"/>
        </w:rPr>
      </w:pPr>
    </w:p>
    <w:p w14:paraId="4B4722C4" w14:textId="77777777" w:rsidR="00150DCE" w:rsidRPr="00150DCE" w:rsidRDefault="00150DCE" w:rsidP="00150DCE">
      <w:pPr>
        <w:numPr>
          <w:ilvl w:val="0"/>
          <w:numId w:val="11"/>
        </w:numPr>
        <w:autoSpaceDE w:val="0"/>
        <w:autoSpaceDN w:val="0"/>
        <w:adjustRightInd w:val="0"/>
        <w:spacing w:after="0" w:line="240" w:lineRule="auto"/>
        <w:contextualSpacing/>
        <w:jc w:val="both"/>
        <w:rPr>
          <w:rFonts w:ascii="Times New Roman" w:eastAsia="Calibri" w:hAnsi="Times New Roman" w:cs="Times New Roman"/>
          <w:lang w:bidi="en-US"/>
        </w:rPr>
      </w:pPr>
      <w:proofErr w:type="gramStart"/>
      <w:r w:rsidRPr="00150DCE">
        <w:rPr>
          <w:rFonts w:ascii="Times New Roman" w:eastAsia="Calibri" w:hAnsi="Times New Roman" w:cs="Times New Roman"/>
          <w:lang w:bidi="en-US"/>
        </w:rPr>
        <w:t>For the purpose of</w:t>
      </w:r>
      <w:proofErr w:type="gramEnd"/>
      <w:r w:rsidRPr="00150DCE">
        <w:rPr>
          <w:rFonts w:ascii="Times New Roman" w:eastAsia="Calibri" w:hAnsi="Times New Roman" w:cs="Times New Roman"/>
          <w:lang w:bidi="en-US"/>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030DA122" w14:textId="77777777" w:rsidR="00150DCE" w:rsidRPr="00150DCE" w:rsidRDefault="00150DCE" w:rsidP="00150DCE">
      <w:pPr>
        <w:autoSpaceDE w:val="0"/>
        <w:autoSpaceDN w:val="0"/>
        <w:adjustRightInd w:val="0"/>
        <w:spacing w:after="0" w:line="240" w:lineRule="auto"/>
        <w:ind w:left="720"/>
        <w:contextualSpacing/>
        <w:jc w:val="both"/>
        <w:rPr>
          <w:rFonts w:ascii="Times New Roman" w:eastAsia="Calibri" w:hAnsi="Times New Roman" w:cs="Times New Roman"/>
          <w:lang w:bidi="en-US"/>
        </w:rPr>
      </w:pPr>
    </w:p>
    <w:p w14:paraId="3CEB465B" w14:textId="77777777" w:rsidR="00150DCE" w:rsidRPr="00150DCE" w:rsidRDefault="00150DCE" w:rsidP="00150DCE">
      <w:pPr>
        <w:numPr>
          <w:ilvl w:val="0"/>
          <w:numId w:val="11"/>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Telecommunications or video surveillance services provided by such entities or using such equipment.</w:t>
      </w:r>
    </w:p>
    <w:p w14:paraId="28F6E2F6" w14:textId="77777777" w:rsidR="00150DCE" w:rsidRPr="00150DCE" w:rsidRDefault="00150DCE" w:rsidP="00150DCE">
      <w:pPr>
        <w:spacing w:after="0" w:line="240" w:lineRule="auto"/>
        <w:ind w:left="720"/>
        <w:contextualSpacing/>
        <w:rPr>
          <w:rFonts w:ascii="Times New Roman" w:eastAsia="Calibri" w:hAnsi="Times New Roman" w:cs="Times New Roman"/>
          <w:lang w:bidi="en-US"/>
        </w:rPr>
      </w:pPr>
    </w:p>
    <w:p w14:paraId="226DAFF1" w14:textId="77777777" w:rsidR="00150DCE" w:rsidRPr="00150DCE" w:rsidRDefault="00150DCE" w:rsidP="00150DCE">
      <w:pPr>
        <w:numPr>
          <w:ilvl w:val="0"/>
          <w:numId w:val="11"/>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65036958" w14:textId="77777777" w:rsidR="00150DCE" w:rsidRPr="00150DCE" w:rsidRDefault="00150DCE" w:rsidP="00150DCE">
      <w:pPr>
        <w:spacing w:after="0" w:line="240" w:lineRule="auto"/>
        <w:ind w:left="720"/>
        <w:contextualSpacing/>
        <w:rPr>
          <w:rFonts w:ascii="Times New Roman" w:eastAsia="Calibri" w:hAnsi="Times New Roman" w:cs="Times New Roman"/>
          <w:lang w:bidi="en-US"/>
        </w:rPr>
      </w:pPr>
    </w:p>
    <w:p w14:paraId="4EED4908" w14:textId="17C4EF1F" w:rsidR="00150DCE" w:rsidRPr="00150DCE" w:rsidRDefault="00150DCE" w:rsidP="00150DCE">
      <w:pPr>
        <w:numPr>
          <w:ilvl w:val="0"/>
          <w:numId w:val="9"/>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 xml:space="preserve">In implementing the prohibition under Public Law 115–232, </w:t>
      </w:r>
      <w:r w:rsidR="006D6EC1">
        <w:rPr>
          <w:rFonts w:ascii="Times New Roman" w:eastAsia="Calibri" w:hAnsi="Times New Roman" w:cs="Times New Roman"/>
          <w:lang w:bidi="en-US"/>
        </w:rPr>
        <w:t>S</w:t>
      </w:r>
      <w:r w:rsidRPr="00150DCE">
        <w:rPr>
          <w:rFonts w:ascii="Times New Roman" w:eastAsia="Calibri" w:hAnsi="Times New Roman" w:cs="Times New Roman"/>
          <w:lang w:bidi="en-US"/>
        </w:rPr>
        <w:t>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00179F9C" w14:textId="77777777" w:rsidR="00150DCE" w:rsidRPr="00150DCE" w:rsidRDefault="00150DCE" w:rsidP="00150DCE">
      <w:pPr>
        <w:autoSpaceDE w:val="0"/>
        <w:autoSpaceDN w:val="0"/>
        <w:adjustRightInd w:val="0"/>
        <w:spacing w:after="0" w:line="240" w:lineRule="auto"/>
        <w:ind w:left="360"/>
        <w:contextualSpacing/>
        <w:jc w:val="both"/>
        <w:rPr>
          <w:rFonts w:ascii="Times New Roman" w:eastAsia="Calibri" w:hAnsi="Times New Roman" w:cs="Times New Roman"/>
          <w:lang w:bidi="en-US"/>
        </w:rPr>
      </w:pPr>
    </w:p>
    <w:p w14:paraId="2552E623" w14:textId="63A4174E" w:rsidR="00150DCE" w:rsidRPr="00150DCE" w:rsidRDefault="00150DCE" w:rsidP="00150DCE">
      <w:pPr>
        <w:numPr>
          <w:ilvl w:val="0"/>
          <w:numId w:val="9"/>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 xml:space="preserve">See Public Law 115–232, </w:t>
      </w:r>
      <w:r w:rsidR="006D6EC1">
        <w:rPr>
          <w:rFonts w:ascii="Times New Roman" w:eastAsia="Calibri" w:hAnsi="Times New Roman" w:cs="Times New Roman"/>
          <w:lang w:bidi="en-US"/>
        </w:rPr>
        <w:t>S</w:t>
      </w:r>
      <w:r w:rsidRPr="00150DCE">
        <w:rPr>
          <w:rFonts w:ascii="Times New Roman" w:eastAsia="Calibri" w:hAnsi="Times New Roman" w:cs="Times New Roman"/>
          <w:lang w:bidi="en-US"/>
        </w:rPr>
        <w:t>ection 889 for additional information.</w:t>
      </w:r>
    </w:p>
    <w:p w14:paraId="7853849C" w14:textId="77777777" w:rsidR="00150DCE" w:rsidRPr="00150DCE" w:rsidRDefault="00150DCE" w:rsidP="00150DCE">
      <w:pPr>
        <w:spacing w:after="0" w:line="240" w:lineRule="auto"/>
        <w:ind w:left="720"/>
        <w:contextualSpacing/>
        <w:rPr>
          <w:rFonts w:ascii="Times New Roman" w:eastAsia="Calibri" w:hAnsi="Times New Roman" w:cs="Times New Roman"/>
          <w:lang w:bidi="en-US"/>
        </w:rPr>
      </w:pPr>
    </w:p>
    <w:p w14:paraId="37134F7B" w14:textId="77777777" w:rsidR="00150DCE" w:rsidRPr="00150DCE" w:rsidRDefault="00150DCE" w:rsidP="00150DCE">
      <w:pPr>
        <w:numPr>
          <w:ilvl w:val="0"/>
          <w:numId w:val="9"/>
        </w:numPr>
        <w:spacing w:after="160" w:line="259"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See also § 200.471.</w:t>
      </w:r>
    </w:p>
    <w:p w14:paraId="7ADCF06E"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rPr>
      </w:pPr>
      <w:r w:rsidRPr="00150DCE">
        <w:rPr>
          <w:rFonts w:ascii="Times New Roman" w:eastAsia="Calibri" w:hAnsi="Times New Roman" w:cs="Times New Roman"/>
          <w:b/>
          <w:bCs/>
        </w:rPr>
        <w:t>§ 200.322 Domestic preferences for procurements.</w:t>
      </w:r>
    </w:p>
    <w:p w14:paraId="0900A87F"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rPr>
      </w:pPr>
    </w:p>
    <w:p w14:paraId="794CBF6A" w14:textId="291EE52D" w:rsidR="00150DCE" w:rsidRPr="00150DCE" w:rsidRDefault="00150DCE" w:rsidP="00150DCE">
      <w:pPr>
        <w:numPr>
          <w:ilvl w:val="0"/>
          <w:numId w:val="12"/>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lastRenderedPageBreak/>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w:t>
      </w:r>
      <w:r w:rsidR="006D6EC1">
        <w:rPr>
          <w:rFonts w:ascii="Times New Roman" w:eastAsia="Calibri" w:hAnsi="Times New Roman" w:cs="Times New Roman"/>
          <w:lang w:bidi="en-US"/>
        </w:rPr>
        <w:t>,</w:t>
      </w:r>
      <w:r w:rsidRPr="00150DCE">
        <w:rPr>
          <w:rFonts w:ascii="Times New Roman" w:eastAsia="Calibri" w:hAnsi="Times New Roman" w:cs="Times New Roman"/>
          <w:lang w:bidi="en-US"/>
        </w:rPr>
        <w:t xml:space="preserve"> including all contracts and purchase orders for work or products under this award.</w:t>
      </w:r>
    </w:p>
    <w:p w14:paraId="105836F4" w14:textId="77777777" w:rsidR="00150DCE" w:rsidRPr="00150DCE" w:rsidRDefault="00150DCE" w:rsidP="00150DCE">
      <w:pPr>
        <w:autoSpaceDE w:val="0"/>
        <w:autoSpaceDN w:val="0"/>
        <w:adjustRightInd w:val="0"/>
        <w:spacing w:after="0" w:line="240" w:lineRule="auto"/>
        <w:ind w:left="720"/>
        <w:contextualSpacing/>
        <w:jc w:val="both"/>
        <w:rPr>
          <w:rFonts w:ascii="Times New Roman" w:eastAsia="Calibri" w:hAnsi="Times New Roman" w:cs="Times New Roman"/>
          <w:lang w:bidi="en-US"/>
        </w:rPr>
      </w:pPr>
    </w:p>
    <w:p w14:paraId="2340E26B" w14:textId="77777777" w:rsidR="00150DCE" w:rsidRPr="00150DCE" w:rsidRDefault="00150DCE" w:rsidP="00150DCE">
      <w:pPr>
        <w:numPr>
          <w:ilvl w:val="0"/>
          <w:numId w:val="12"/>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 xml:space="preserve">For purposes of this section: </w:t>
      </w:r>
    </w:p>
    <w:p w14:paraId="0B3AEA0E" w14:textId="77777777" w:rsidR="00150DCE" w:rsidRPr="00150DCE" w:rsidRDefault="00150DCE" w:rsidP="00150DCE">
      <w:pPr>
        <w:spacing w:after="0" w:line="240" w:lineRule="auto"/>
        <w:ind w:left="720"/>
        <w:contextualSpacing/>
        <w:rPr>
          <w:rFonts w:ascii="Times New Roman" w:eastAsia="Calibri" w:hAnsi="Times New Roman" w:cs="Times New Roman"/>
          <w:lang w:bidi="en-US"/>
        </w:rPr>
      </w:pPr>
    </w:p>
    <w:p w14:paraId="6E31E3FD" w14:textId="77777777" w:rsidR="00150DCE" w:rsidRPr="00150DCE" w:rsidRDefault="00150DCE" w:rsidP="00150DCE">
      <w:pPr>
        <w:numPr>
          <w:ilvl w:val="0"/>
          <w:numId w:val="13"/>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‘‘Produced in the United States’’ means, for iron and steel products, that all manufacturing processes, from the initial melting stage through the application of coatings, occurred in the United States.</w:t>
      </w:r>
    </w:p>
    <w:p w14:paraId="0B045700" w14:textId="77777777" w:rsidR="00150DCE" w:rsidRPr="00150DCE" w:rsidRDefault="00150DCE" w:rsidP="00150DCE">
      <w:pPr>
        <w:autoSpaceDE w:val="0"/>
        <w:autoSpaceDN w:val="0"/>
        <w:adjustRightInd w:val="0"/>
        <w:spacing w:after="0" w:line="240" w:lineRule="auto"/>
        <w:ind w:left="1440"/>
        <w:contextualSpacing/>
        <w:jc w:val="both"/>
        <w:rPr>
          <w:rFonts w:ascii="Times New Roman" w:eastAsia="Calibri" w:hAnsi="Times New Roman" w:cs="Times New Roman"/>
          <w:lang w:bidi="en-US"/>
        </w:rPr>
      </w:pPr>
    </w:p>
    <w:p w14:paraId="408A58AB" w14:textId="77777777" w:rsidR="00150DCE" w:rsidRPr="00150DCE" w:rsidRDefault="00150DCE" w:rsidP="00150DCE">
      <w:pPr>
        <w:numPr>
          <w:ilvl w:val="0"/>
          <w:numId w:val="13"/>
        </w:numPr>
        <w:autoSpaceDE w:val="0"/>
        <w:autoSpaceDN w:val="0"/>
        <w:adjustRightInd w:val="0"/>
        <w:spacing w:after="0" w:line="240" w:lineRule="auto"/>
        <w:contextualSpacing/>
        <w:jc w:val="both"/>
        <w:rPr>
          <w:rFonts w:ascii="Times New Roman" w:eastAsia="Calibri" w:hAnsi="Times New Roman" w:cs="Times New Roman"/>
          <w:lang w:bidi="en-US"/>
        </w:rPr>
      </w:pPr>
      <w:r w:rsidRPr="00150DCE">
        <w:rPr>
          <w:rFonts w:ascii="Times New Roman" w:eastAsia="Calibri" w:hAnsi="Times New Roman" w:cs="Times New Roman"/>
          <w:lang w:bidi="en-US"/>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16785E68" w14:textId="77777777" w:rsidR="00150DCE" w:rsidRPr="00150DCE" w:rsidRDefault="00150DCE" w:rsidP="00150DCE">
      <w:pPr>
        <w:spacing w:after="160" w:line="259" w:lineRule="auto"/>
        <w:jc w:val="both"/>
        <w:rPr>
          <w:rFonts w:ascii="Times New Roman" w:eastAsia="Calibri" w:hAnsi="Times New Roman" w:cs="Times New Roman"/>
        </w:rPr>
      </w:pPr>
    </w:p>
    <w:p w14:paraId="22CA7DCC"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kern w:val="2"/>
        </w:rPr>
      </w:pPr>
      <w:r w:rsidRPr="00150DCE">
        <w:rPr>
          <w:rFonts w:ascii="Times New Roman" w:eastAsia="Calibri" w:hAnsi="Times New Roman" w:cs="Times New Roman"/>
          <w:b/>
          <w:bCs/>
          <w:kern w:val="2"/>
        </w:rPr>
        <w:t xml:space="preserve">Section 3 </w:t>
      </w:r>
    </w:p>
    <w:p w14:paraId="4D48AF8F"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b/>
          <w:bCs/>
          <w:kern w:val="2"/>
        </w:rPr>
      </w:pPr>
    </w:p>
    <w:p w14:paraId="7883E07B"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kern w:val="2"/>
        </w:rPr>
      </w:pPr>
      <w:r w:rsidRPr="00150DCE">
        <w:rPr>
          <w:rFonts w:ascii="Times New Roman" w:eastAsia="Calibri" w:hAnsi="Times New Roman" w:cs="Times New Roman"/>
          <w:kern w:val="2"/>
        </w:rPr>
        <w:t>This regulation must be followed when projects assisted with housing and community development financial assistance exceed $200,000 for the following construction activities: housing rehabilitation, housing construction, and other public construction (e.g., public facilities and improvements) projects assisted with housing and community development financial assistance.</w:t>
      </w:r>
    </w:p>
    <w:p w14:paraId="7647BF39" w14:textId="77777777" w:rsidR="00150DCE" w:rsidRPr="00150DCE" w:rsidRDefault="00150DCE" w:rsidP="00150DCE">
      <w:pPr>
        <w:autoSpaceDE w:val="0"/>
        <w:autoSpaceDN w:val="0"/>
        <w:adjustRightInd w:val="0"/>
        <w:spacing w:after="0" w:line="240" w:lineRule="auto"/>
        <w:jc w:val="both"/>
        <w:rPr>
          <w:rFonts w:ascii="Times New Roman" w:eastAsia="Calibri" w:hAnsi="Times New Roman" w:cs="Times New Roman"/>
          <w:kern w:val="2"/>
        </w:rPr>
      </w:pPr>
    </w:p>
    <w:p w14:paraId="397FE751" w14:textId="77777777" w:rsidR="00150DCE" w:rsidRPr="00150DCE" w:rsidRDefault="00150DCE" w:rsidP="00150DCE">
      <w:pPr>
        <w:numPr>
          <w:ilvl w:val="0"/>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u w:val="single"/>
        </w:rPr>
        <w:t>Section 3 of the Housing and Urban Development Act of 1968</w:t>
      </w:r>
      <w:r w:rsidRPr="00150DCE">
        <w:rPr>
          <w:rFonts w:ascii="Times New Roman" w:eastAsia="Calibri" w:hAnsi="Times New Roman" w:cs="Times New Roman"/>
        </w:rPr>
        <w:t xml:space="preserve"> </w:t>
      </w:r>
    </w:p>
    <w:p w14:paraId="7AD9E0C5" w14:textId="77777777" w:rsidR="00150DCE" w:rsidRPr="00150DCE" w:rsidRDefault="00150DCE" w:rsidP="00150DCE">
      <w:pPr>
        <w:spacing w:after="0" w:line="240" w:lineRule="auto"/>
        <w:ind w:left="720"/>
        <w:contextualSpacing/>
        <w:jc w:val="both"/>
        <w:rPr>
          <w:rFonts w:ascii="Times New Roman" w:eastAsia="Calibri" w:hAnsi="Times New Roman" w:cs="Times New Roman"/>
        </w:rPr>
      </w:pPr>
      <w:r w:rsidRPr="00150DCE">
        <w:rPr>
          <w:rFonts w:ascii="Times New Roman" w:eastAsia="Calibri" w:hAnsi="Times New Roman" w:cs="Times New Roman"/>
        </w:rPr>
        <w:t>The purpose of Section 3 is to ensure that economic opportunities, most importantly employment, generated by certain HUD financial assistance shall be directed to low- and very low-income persons, particularly those who are recipients of government assistance for housing or residents of the community in which the federal assistance is spent.</w:t>
      </w:r>
    </w:p>
    <w:p w14:paraId="1390D750" w14:textId="77777777" w:rsidR="00150DCE" w:rsidRPr="00150DCE" w:rsidRDefault="00150DCE" w:rsidP="00150DCE">
      <w:pPr>
        <w:spacing w:after="0" w:line="240" w:lineRule="auto"/>
        <w:ind w:left="720"/>
        <w:contextualSpacing/>
        <w:jc w:val="both"/>
        <w:rPr>
          <w:rFonts w:ascii="Times New Roman" w:eastAsia="Calibri" w:hAnsi="Times New Roman" w:cs="Times New Roman"/>
        </w:rPr>
      </w:pPr>
    </w:p>
    <w:p w14:paraId="36A0C159" w14:textId="77777777" w:rsidR="00150DCE" w:rsidRPr="00150DCE" w:rsidRDefault="00150DCE" w:rsidP="00150DCE">
      <w:pPr>
        <w:numPr>
          <w:ilvl w:val="1"/>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u w:val="single"/>
        </w:rPr>
        <w:t>Low-Income Person Definition</w:t>
      </w:r>
      <w:r w:rsidRPr="00150DCE">
        <w:rPr>
          <w:rFonts w:ascii="Times New Roman" w:eastAsia="Calibri" w:hAnsi="Times New Roman" w:cs="Times New Roman"/>
        </w:rPr>
        <w:t xml:space="preserve"> </w:t>
      </w:r>
    </w:p>
    <w:p w14:paraId="50265064" w14:textId="77777777" w:rsidR="00150DCE" w:rsidRPr="00150DCE" w:rsidRDefault="00150DCE" w:rsidP="00150DCE">
      <w:pPr>
        <w:spacing w:after="0" w:line="240" w:lineRule="auto"/>
        <w:ind w:left="1440"/>
        <w:contextualSpacing/>
        <w:jc w:val="both"/>
        <w:rPr>
          <w:rFonts w:ascii="Times New Roman" w:eastAsia="Calibri" w:hAnsi="Times New Roman" w:cs="Times New Roman"/>
        </w:rPr>
      </w:pPr>
      <w:r w:rsidRPr="00150DCE">
        <w:rPr>
          <w:rFonts w:ascii="Times New Roman" w:eastAsia="Calibri" w:hAnsi="Times New Roman" w:cs="Times New Roman"/>
        </w:rPr>
        <w:t xml:space="preserve">A low-income person, as this term is defined in Section 3 (b)(2) of the 1937 Act (42 U.S.C. 1437a(b)(2)). Section 3(b)(2) of the 1937 Act defines this term to mean families (including single persons) whose incomes do not exceed 80 per centum of the median income for the area, as determined by the Secretary, with adjustments for smaller and larger families, except that the Secretary may establish income ceilings higher and or lower than 80 per centum of the median for the area on the basis of the Secretary’s findings that such variations are necessary because of prevailing levels of construction costs or unusually high or low—income families; or a very low-income person, as this term is defined in Section 3(b)(2) of the 1937 Act (42 U.S.C. 1437 a(b)(2)). Section 3(b)(2) of the 1937 Act (42 U.S.C. 1437a(b)(2)) defines this term to mean families (including single persons) whose incomes do not exceed 50 per centum of the median family income for the area, as determined by the Secretary with adjustments for smaller and larger families, except that the Secretary may establish income ceilings higher or lower than 50 per centum of the median for the area on the basis of the Secretary’s findings that such variations are necessary because of unusually high or low family incomes. </w:t>
      </w:r>
    </w:p>
    <w:p w14:paraId="68E6FD18" w14:textId="77777777" w:rsidR="00150DCE" w:rsidRPr="00150DCE" w:rsidRDefault="00150DCE" w:rsidP="00150DCE">
      <w:pPr>
        <w:spacing w:after="0" w:line="240" w:lineRule="auto"/>
        <w:ind w:left="1440"/>
        <w:contextualSpacing/>
        <w:jc w:val="both"/>
        <w:rPr>
          <w:rFonts w:ascii="Times New Roman" w:eastAsia="Calibri" w:hAnsi="Times New Roman" w:cs="Times New Roman"/>
        </w:rPr>
      </w:pPr>
    </w:p>
    <w:p w14:paraId="008869B9" w14:textId="77777777" w:rsidR="00150DCE" w:rsidRPr="00150DCE" w:rsidRDefault="00150DCE" w:rsidP="00150DCE">
      <w:pPr>
        <w:numPr>
          <w:ilvl w:val="1"/>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u w:val="single"/>
        </w:rPr>
        <w:t xml:space="preserve">Compliance </w:t>
      </w:r>
    </w:p>
    <w:p w14:paraId="0C4C962F" w14:textId="447300A5" w:rsidR="00150DCE" w:rsidRPr="00150DCE" w:rsidRDefault="00150DCE" w:rsidP="00150DCE">
      <w:pPr>
        <w:spacing w:after="0" w:line="240" w:lineRule="auto"/>
        <w:ind w:left="1440"/>
        <w:contextualSpacing/>
        <w:jc w:val="both"/>
        <w:rPr>
          <w:rFonts w:ascii="Times New Roman" w:eastAsia="Calibri" w:hAnsi="Times New Roman" w:cs="Times New Roman"/>
        </w:rPr>
      </w:pPr>
      <w:r w:rsidRPr="00150DCE">
        <w:rPr>
          <w:rFonts w:ascii="Times New Roman" w:eastAsia="Calibri" w:hAnsi="Times New Roman" w:cs="Times New Roman"/>
        </w:rPr>
        <w:lastRenderedPageBreak/>
        <w:t xml:space="preserve">Subrecipient shall comply with the provisions of Section 3 of the Housing </w:t>
      </w:r>
      <w:r w:rsidR="006D6EC1">
        <w:rPr>
          <w:rFonts w:ascii="Times New Roman" w:eastAsia="Calibri" w:hAnsi="Times New Roman" w:cs="Times New Roman"/>
        </w:rPr>
        <w:t xml:space="preserve">and </w:t>
      </w:r>
      <w:r w:rsidRPr="00150DCE">
        <w:rPr>
          <w:rFonts w:ascii="Times New Roman" w:eastAsia="Calibri" w:hAnsi="Times New Roman" w:cs="Times New Roman"/>
        </w:rPr>
        <w:t>Urban Development Act of 1968, as amended, 12 USC 1701u, and implementing its implementing regulations at 24 CFR Part 75 (formerly 24 CFR Part 135). Compliance with Section 3 shall be achieved, to the greatest extent feasible, consistent with existing federal, state</w:t>
      </w:r>
      <w:r w:rsidR="006D6EC1">
        <w:rPr>
          <w:rFonts w:ascii="Times New Roman" w:eastAsia="Calibri" w:hAnsi="Times New Roman" w:cs="Times New Roman"/>
        </w:rPr>
        <w:t>,</w:t>
      </w:r>
      <w:r w:rsidRPr="00150DCE">
        <w:rPr>
          <w:rFonts w:ascii="Times New Roman" w:eastAsia="Calibri" w:hAnsi="Times New Roman" w:cs="Times New Roman"/>
        </w:rPr>
        <w:t xml:space="preserve"> and local laws and regulations. Accordingly, a subrecipient of Section 3-covered assistance is required to develop strategies for meeting both the regulatory requirements at 24 CFR Part 75 and any other applicable statutes or regulations. Subrecipient and any of its contractors and subcontractors shall include the following “Section 3 clause” in every “Section 3-covered contract”: </w:t>
      </w:r>
    </w:p>
    <w:p w14:paraId="712A307C" w14:textId="77777777" w:rsidR="00150DCE" w:rsidRPr="00150DCE" w:rsidRDefault="00150DCE" w:rsidP="00150DCE">
      <w:pPr>
        <w:spacing w:after="0" w:line="240" w:lineRule="auto"/>
        <w:ind w:left="1440"/>
        <w:contextualSpacing/>
        <w:jc w:val="both"/>
        <w:rPr>
          <w:rFonts w:ascii="Times New Roman" w:eastAsia="Calibri" w:hAnsi="Times New Roman" w:cs="Times New Roman"/>
        </w:rPr>
      </w:pPr>
    </w:p>
    <w:p w14:paraId="7A92FF37" w14:textId="6F3F28FE" w:rsidR="00150DCE" w:rsidRPr="00150DCE" w:rsidRDefault="00150DCE" w:rsidP="00150DCE">
      <w:pPr>
        <w:numPr>
          <w:ilvl w:val="2"/>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rPr>
        <w:t xml:space="preserve">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w:t>
      </w:r>
      <w:r w:rsidR="006D6EC1">
        <w:rPr>
          <w:rFonts w:ascii="Times New Roman" w:eastAsia="Calibri" w:hAnsi="Times New Roman" w:cs="Times New Roman"/>
        </w:rPr>
        <w:t>HUD-assisted</w:t>
      </w:r>
      <w:r w:rsidRPr="00150DCE">
        <w:rPr>
          <w:rFonts w:ascii="Times New Roman" w:eastAsia="Calibri" w:hAnsi="Times New Roman" w:cs="Times New Roman"/>
        </w:rPr>
        <w:t xml:space="preserve"> projects covered by Section 3, shall, to the greatest extent feasible, be directed to low- and very low-income persons, particularly persons who are recipients of HUD assistance for housing. </w:t>
      </w:r>
    </w:p>
    <w:p w14:paraId="7455D471" w14:textId="77777777" w:rsidR="00150DCE" w:rsidRPr="00150DCE" w:rsidRDefault="00150DCE" w:rsidP="00150DCE">
      <w:pPr>
        <w:spacing w:after="0" w:line="240" w:lineRule="auto"/>
        <w:ind w:left="2160"/>
        <w:contextualSpacing/>
        <w:jc w:val="both"/>
        <w:rPr>
          <w:rFonts w:ascii="Times New Roman" w:eastAsia="Calibri" w:hAnsi="Times New Roman" w:cs="Times New Roman"/>
        </w:rPr>
      </w:pPr>
    </w:p>
    <w:p w14:paraId="1BC3EFCF" w14:textId="77777777" w:rsidR="00150DCE" w:rsidRPr="00150DCE" w:rsidRDefault="00150DCE" w:rsidP="00150DCE">
      <w:pPr>
        <w:numPr>
          <w:ilvl w:val="2"/>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rPr>
        <w:t xml:space="preserve">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 </w:t>
      </w:r>
    </w:p>
    <w:p w14:paraId="46D39C4F" w14:textId="77777777" w:rsidR="00150DCE" w:rsidRPr="00150DCE" w:rsidRDefault="00150DCE" w:rsidP="00150DCE">
      <w:pPr>
        <w:spacing w:after="0" w:line="240" w:lineRule="auto"/>
        <w:ind w:left="720"/>
        <w:contextualSpacing/>
        <w:rPr>
          <w:rFonts w:ascii="Calibri" w:eastAsia="Calibri" w:hAnsi="Calibri" w:cs="Times New Roman"/>
          <w:sz w:val="24"/>
          <w:szCs w:val="24"/>
          <w:lang w:bidi="en-US"/>
        </w:rPr>
      </w:pPr>
    </w:p>
    <w:p w14:paraId="3F2060CF" w14:textId="77777777" w:rsidR="00150DCE" w:rsidRPr="00150DCE" w:rsidRDefault="00150DCE" w:rsidP="00150DCE">
      <w:pPr>
        <w:numPr>
          <w:ilvl w:val="2"/>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rPr>
        <w:t xml:space="preserve">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 </w:t>
      </w:r>
    </w:p>
    <w:p w14:paraId="582EC46F" w14:textId="77777777" w:rsidR="00150DCE" w:rsidRPr="00150DCE" w:rsidRDefault="00150DCE" w:rsidP="00150DCE">
      <w:pPr>
        <w:spacing w:after="0" w:line="240" w:lineRule="auto"/>
        <w:ind w:left="720"/>
        <w:contextualSpacing/>
        <w:rPr>
          <w:rFonts w:ascii="Calibri" w:eastAsia="Calibri" w:hAnsi="Calibri" w:cs="Times New Roman"/>
          <w:sz w:val="24"/>
          <w:szCs w:val="24"/>
          <w:lang w:bidi="en-US"/>
        </w:rPr>
      </w:pPr>
    </w:p>
    <w:p w14:paraId="1532AAFF" w14:textId="77777777" w:rsidR="00150DCE" w:rsidRPr="00150DCE" w:rsidRDefault="00150DCE" w:rsidP="00150DCE">
      <w:pPr>
        <w:numPr>
          <w:ilvl w:val="2"/>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rPr>
        <w:t>The contractor agrees to include this Section 3 clause in every subcontract subject to compliance with regulations in 24 CFR Part 75, and agrees to take appropriate action, as provided in an applicable provision of the subcontract or in this Section 3 clause,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w:t>
      </w:r>
    </w:p>
    <w:p w14:paraId="53D6B5DA" w14:textId="77777777" w:rsidR="00150DCE" w:rsidRPr="00150DCE" w:rsidRDefault="00150DCE" w:rsidP="00150DCE">
      <w:pPr>
        <w:spacing w:after="0" w:line="240" w:lineRule="auto"/>
        <w:ind w:left="720"/>
        <w:contextualSpacing/>
        <w:rPr>
          <w:rFonts w:ascii="Calibri" w:eastAsia="Calibri" w:hAnsi="Calibri" w:cs="Times New Roman"/>
          <w:sz w:val="24"/>
          <w:szCs w:val="24"/>
          <w:lang w:bidi="en-US"/>
        </w:rPr>
      </w:pPr>
    </w:p>
    <w:p w14:paraId="6F0B5564" w14:textId="77777777" w:rsidR="00150DCE" w:rsidRPr="00150DCE" w:rsidRDefault="00150DCE" w:rsidP="00150DCE">
      <w:pPr>
        <w:numPr>
          <w:ilvl w:val="2"/>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rPr>
        <w:t>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w:t>
      </w:r>
    </w:p>
    <w:p w14:paraId="20D7DE6F" w14:textId="77777777" w:rsidR="00150DCE" w:rsidRPr="00150DCE" w:rsidRDefault="00150DCE" w:rsidP="00150DCE">
      <w:pPr>
        <w:spacing w:after="0" w:line="240" w:lineRule="auto"/>
        <w:ind w:left="720"/>
        <w:contextualSpacing/>
        <w:rPr>
          <w:rFonts w:ascii="Calibri" w:eastAsia="Calibri" w:hAnsi="Calibri" w:cs="Times New Roman"/>
          <w:sz w:val="24"/>
          <w:szCs w:val="24"/>
          <w:lang w:bidi="en-US"/>
        </w:rPr>
      </w:pPr>
    </w:p>
    <w:p w14:paraId="147CFA9B" w14:textId="77777777" w:rsidR="00150DCE" w:rsidRPr="00150DCE" w:rsidRDefault="00150DCE" w:rsidP="00150DCE">
      <w:pPr>
        <w:spacing w:after="0" w:line="240" w:lineRule="auto"/>
        <w:ind w:left="2160"/>
        <w:contextualSpacing/>
        <w:jc w:val="both"/>
        <w:rPr>
          <w:rFonts w:ascii="Times New Roman" w:eastAsia="Calibri" w:hAnsi="Times New Roman" w:cs="Times New Roman"/>
        </w:rPr>
      </w:pPr>
    </w:p>
    <w:p w14:paraId="19A6BB37" w14:textId="5A7C09D8" w:rsidR="00150DCE" w:rsidRPr="00150DCE" w:rsidRDefault="00150DCE" w:rsidP="00150DCE">
      <w:pPr>
        <w:numPr>
          <w:ilvl w:val="2"/>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rPr>
        <w:t xml:space="preserve">Noncompliance with HUD’s regulations in 24 CFR Part 75 may result in sanctions, termination of this contract for default, and debarment or suspension from future </w:t>
      </w:r>
      <w:r w:rsidR="006D6EC1">
        <w:rPr>
          <w:rFonts w:ascii="Times New Roman" w:eastAsia="Calibri" w:hAnsi="Times New Roman" w:cs="Times New Roman"/>
        </w:rPr>
        <w:t>HUD-assisted</w:t>
      </w:r>
      <w:r w:rsidRPr="00150DCE">
        <w:rPr>
          <w:rFonts w:ascii="Times New Roman" w:eastAsia="Calibri" w:hAnsi="Times New Roman" w:cs="Times New Roman"/>
        </w:rPr>
        <w:t xml:space="preserve"> contracts. </w:t>
      </w:r>
    </w:p>
    <w:p w14:paraId="2C68FB95" w14:textId="77777777" w:rsidR="00150DCE" w:rsidRPr="00150DCE" w:rsidRDefault="00150DCE" w:rsidP="00150DCE">
      <w:pPr>
        <w:spacing w:after="0" w:line="240" w:lineRule="auto"/>
        <w:ind w:left="2160"/>
        <w:contextualSpacing/>
        <w:jc w:val="both"/>
        <w:rPr>
          <w:rFonts w:ascii="Times New Roman" w:eastAsia="Calibri" w:hAnsi="Times New Roman" w:cs="Times New Roman"/>
        </w:rPr>
      </w:pPr>
    </w:p>
    <w:p w14:paraId="52884B5C" w14:textId="25FE3C9E" w:rsidR="00150DCE" w:rsidRPr="00150DCE" w:rsidRDefault="00150DCE" w:rsidP="00150DCE">
      <w:pPr>
        <w:numPr>
          <w:ilvl w:val="2"/>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rPr>
        <w:t>With respect to work performed in connection with Section 3 covered Indian housing assistance, Section 7(b) of the Indian Self-Determination and Education Assistance Act (25 U.S.C. 450e) also applies to the work to be performed under this contract. Section 7(b) requires that</w:t>
      </w:r>
      <w:r w:rsidR="006D6EC1">
        <w:rPr>
          <w:rFonts w:ascii="Times New Roman" w:eastAsia="Calibri" w:hAnsi="Times New Roman" w:cs="Times New Roman"/>
        </w:rPr>
        <w:t>,</w:t>
      </w:r>
      <w:r w:rsidRPr="00150DCE">
        <w:rPr>
          <w:rFonts w:ascii="Times New Roman" w:eastAsia="Calibri" w:hAnsi="Times New Roman" w:cs="Times New Roman"/>
        </w:rPr>
        <w:t xml:space="preserve"> to the greatest extent feasible</w:t>
      </w:r>
      <w:r w:rsidR="006D6EC1">
        <w:rPr>
          <w:rFonts w:ascii="Times New Roman" w:eastAsia="Calibri" w:hAnsi="Times New Roman" w:cs="Times New Roman"/>
        </w:rPr>
        <w:t>,</w:t>
      </w:r>
      <w:r w:rsidRPr="00150DCE">
        <w:rPr>
          <w:rFonts w:ascii="Times New Roman" w:eastAsia="Calibri" w:hAnsi="Times New Roman" w:cs="Times New Roman"/>
        </w:rPr>
        <w:t xml:space="preserve"> preference and opportunities for training and employment shall be given to Indians, and preference in the award of contracts and subcontracts shall be given to Indian organizations and Indian-owned Economic Enterprises. Parties to this contract that are subject to the provisions of Section 3 and Section 7(b) agree to comply with Section 3 to the maximum extent feasible, but not in derogation of compliance with Section 7(b). </w:t>
      </w:r>
    </w:p>
    <w:p w14:paraId="51BFE628" w14:textId="77777777" w:rsidR="00150DCE" w:rsidRPr="00150DCE" w:rsidRDefault="00150DCE" w:rsidP="00150DCE">
      <w:pPr>
        <w:spacing w:after="0" w:line="240" w:lineRule="auto"/>
        <w:ind w:left="720"/>
        <w:contextualSpacing/>
        <w:rPr>
          <w:rFonts w:ascii="Calibri" w:eastAsia="Calibri" w:hAnsi="Calibri" w:cs="Times New Roman"/>
          <w:sz w:val="24"/>
          <w:szCs w:val="24"/>
          <w:lang w:bidi="en-US"/>
        </w:rPr>
      </w:pPr>
    </w:p>
    <w:p w14:paraId="49ED6F49" w14:textId="77777777" w:rsidR="00150DCE" w:rsidRPr="00150DCE" w:rsidRDefault="00150DCE" w:rsidP="00150DCE">
      <w:pPr>
        <w:numPr>
          <w:ilvl w:val="1"/>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u w:val="single"/>
        </w:rPr>
        <w:t>Section 3 Benchmarks and Reporting</w:t>
      </w:r>
      <w:r w:rsidRPr="00150DCE">
        <w:rPr>
          <w:rFonts w:ascii="Times New Roman" w:eastAsia="Calibri" w:hAnsi="Times New Roman" w:cs="Times New Roman"/>
        </w:rPr>
        <w:t xml:space="preserve"> </w:t>
      </w:r>
    </w:p>
    <w:p w14:paraId="34D32CCB" w14:textId="77777777" w:rsidR="00150DCE" w:rsidRPr="00150DCE" w:rsidRDefault="00150DCE" w:rsidP="00150DCE">
      <w:pPr>
        <w:spacing w:after="0" w:line="240" w:lineRule="auto"/>
        <w:ind w:left="1440"/>
        <w:contextualSpacing/>
        <w:jc w:val="both"/>
        <w:rPr>
          <w:rFonts w:ascii="Times New Roman" w:eastAsia="Calibri" w:hAnsi="Times New Roman" w:cs="Times New Roman"/>
        </w:rPr>
      </w:pPr>
    </w:p>
    <w:p w14:paraId="246A4974" w14:textId="77777777" w:rsidR="00150DCE" w:rsidRPr="00150DCE" w:rsidRDefault="00150DCE" w:rsidP="00150DCE">
      <w:pPr>
        <w:numPr>
          <w:ilvl w:val="2"/>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u w:val="single"/>
        </w:rPr>
        <w:t>Benchmarks</w:t>
      </w:r>
      <w:r w:rsidRPr="00150DCE">
        <w:rPr>
          <w:rFonts w:ascii="Times New Roman" w:eastAsia="Calibri" w:hAnsi="Times New Roman" w:cs="Times New Roman"/>
        </w:rPr>
        <w:t xml:space="preserve">. Contracts with CDBG awards over $200,000 trigger Section 3 Benchmark requirements. When triggered, best efforts must be made to extend Section 3 opportunities to verified Section 3 workers and business concerns to meet these minimum numeric goals: </w:t>
      </w:r>
    </w:p>
    <w:p w14:paraId="1C90BB96" w14:textId="77777777" w:rsidR="00150DCE" w:rsidRPr="00150DCE" w:rsidRDefault="00150DCE" w:rsidP="00150DCE">
      <w:pPr>
        <w:spacing w:after="0" w:line="240" w:lineRule="auto"/>
        <w:ind w:left="2160"/>
        <w:contextualSpacing/>
        <w:jc w:val="both"/>
        <w:rPr>
          <w:rFonts w:ascii="Times New Roman" w:eastAsia="Calibri" w:hAnsi="Times New Roman" w:cs="Times New Roman"/>
        </w:rPr>
      </w:pPr>
    </w:p>
    <w:p w14:paraId="7779382A" w14:textId="77777777" w:rsidR="00150DCE" w:rsidRPr="00150DCE" w:rsidRDefault="00150DCE" w:rsidP="00150DCE">
      <w:pPr>
        <w:numPr>
          <w:ilvl w:val="3"/>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rPr>
        <w:t>25% of the total hours on a Section 3 project must be worked by Section 3 workers; and</w:t>
      </w:r>
    </w:p>
    <w:p w14:paraId="006C98D3" w14:textId="77777777" w:rsidR="00150DCE" w:rsidRPr="00150DCE" w:rsidRDefault="00150DCE" w:rsidP="00150DCE">
      <w:pPr>
        <w:spacing w:after="0" w:line="240" w:lineRule="auto"/>
        <w:ind w:left="2880"/>
        <w:contextualSpacing/>
        <w:jc w:val="both"/>
        <w:rPr>
          <w:rFonts w:ascii="Times New Roman" w:eastAsia="Calibri" w:hAnsi="Times New Roman" w:cs="Times New Roman"/>
        </w:rPr>
      </w:pPr>
      <w:r w:rsidRPr="00150DCE">
        <w:rPr>
          <w:rFonts w:ascii="Times New Roman" w:eastAsia="Calibri" w:hAnsi="Times New Roman" w:cs="Times New Roman"/>
        </w:rPr>
        <w:t xml:space="preserve"> </w:t>
      </w:r>
    </w:p>
    <w:p w14:paraId="612F89FA" w14:textId="77777777" w:rsidR="00150DCE" w:rsidRPr="00150DCE" w:rsidRDefault="00150DCE" w:rsidP="00150DCE">
      <w:pPr>
        <w:numPr>
          <w:ilvl w:val="3"/>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rPr>
        <w:t xml:space="preserve">Five percent of the total hours on a Section 3 project must be worked by Targeted Section 3 workers. </w:t>
      </w:r>
    </w:p>
    <w:p w14:paraId="77CD25EB" w14:textId="77777777" w:rsidR="00150DCE" w:rsidRPr="00150DCE" w:rsidRDefault="00150DCE" w:rsidP="00150DCE">
      <w:pPr>
        <w:spacing w:after="0" w:line="240" w:lineRule="auto"/>
        <w:ind w:left="720"/>
        <w:contextualSpacing/>
        <w:rPr>
          <w:rFonts w:ascii="Calibri" w:eastAsia="Calibri" w:hAnsi="Calibri" w:cs="Times New Roman"/>
          <w:sz w:val="24"/>
          <w:szCs w:val="24"/>
          <w:lang w:bidi="en-US"/>
        </w:rPr>
      </w:pPr>
    </w:p>
    <w:p w14:paraId="14349578" w14:textId="22B86649" w:rsidR="00150DCE" w:rsidRPr="00150DCE" w:rsidRDefault="00150DCE" w:rsidP="00150DCE">
      <w:pPr>
        <w:numPr>
          <w:ilvl w:val="2"/>
          <w:numId w:val="7"/>
        </w:numPr>
        <w:spacing w:after="0" w:line="240" w:lineRule="auto"/>
        <w:contextualSpacing/>
        <w:jc w:val="both"/>
        <w:rPr>
          <w:rFonts w:ascii="Times New Roman" w:eastAsia="Calibri" w:hAnsi="Times New Roman" w:cs="Times New Roman"/>
        </w:rPr>
      </w:pPr>
      <w:r w:rsidRPr="00150DCE">
        <w:rPr>
          <w:rFonts w:ascii="Times New Roman" w:eastAsia="Calibri" w:hAnsi="Times New Roman" w:cs="Times New Roman"/>
          <w:u w:val="single"/>
        </w:rPr>
        <w:t>Reporting.</w:t>
      </w:r>
      <w:r w:rsidRPr="00150DCE">
        <w:rPr>
          <w:rFonts w:ascii="Times New Roman" w:eastAsia="Calibri" w:hAnsi="Times New Roman" w:cs="Times New Roman"/>
        </w:rPr>
        <w:t xml:space="preserve"> If the subrecipient’s reporting indicates that the subrecipient has not met the Section 3 benchmarks described in 24 CFR § 75.23, pursuant to 24 CFR § 75.25(b), the subrecipient must report in a form prescribed by HUD on the qualitative nature of its activities and those </w:t>
      </w:r>
      <w:r w:rsidR="007B248A">
        <w:rPr>
          <w:rFonts w:ascii="Times New Roman" w:eastAsia="Calibri" w:hAnsi="Times New Roman" w:cs="Times New Roman"/>
        </w:rPr>
        <w:t xml:space="preserve">of </w:t>
      </w:r>
      <w:r w:rsidRPr="00150DCE">
        <w:rPr>
          <w:rFonts w:ascii="Times New Roman" w:eastAsia="Calibri" w:hAnsi="Times New Roman" w:cs="Times New Roman"/>
        </w:rPr>
        <w:t xml:space="preserve">its contractors and subcontractors pursued. </w:t>
      </w:r>
    </w:p>
    <w:p w14:paraId="4056E20D" w14:textId="77777777" w:rsidR="00150DCE" w:rsidRPr="00150DCE" w:rsidRDefault="00150DCE" w:rsidP="00150DCE">
      <w:pPr>
        <w:spacing w:after="0" w:line="240" w:lineRule="auto"/>
        <w:ind w:left="2160"/>
        <w:contextualSpacing/>
        <w:jc w:val="both"/>
        <w:rPr>
          <w:rFonts w:ascii="Times New Roman" w:eastAsia="Calibri" w:hAnsi="Times New Roman" w:cs="Times New Roman"/>
        </w:rPr>
      </w:pPr>
    </w:p>
    <w:p w14:paraId="602AF52C" w14:textId="4E95C0D1" w:rsidR="00150DCE" w:rsidRPr="00150DCE" w:rsidRDefault="00150DCE" w:rsidP="00150DCE">
      <w:pPr>
        <w:numPr>
          <w:ilvl w:val="2"/>
          <w:numId w:val="7"/>
        </w:numPr>
        <w:autoSpaceDE w:val="0"/>
        <w:autoSpaceDN w:val="0"/>
        <w:adjustRightInd w:val="0"/>
        <w:spacing w:after="0" w:line="240" w:lineRule="auto"/>
        <w:contextualSpacing/>
        <w:jc w:val="both"/>
        <w:rPr>
          <w:rFonts w:ascii="Times New Roman" w:eastAsia="Calibri" w:hAnsi="Times New Roman" w:cs="Times New Roman"/>
          <w:kern w:val="2"/>
        </w:rPr>
      </w:pPr>
      <w:r w:rsidRPr="00150DCE">
        <w:rPr>
          <w:rFonts w:ascii="Times New Roman" w:eastAsia="Calibri" w:hAnsi="Times New Roman" w:cs="Times New Roman"/>
        </w:rPr>
        <w:t>Recipient will comply with any Section 3 Project Implementation Plan documents provided by HUD or the State of Hawaii</w:t>
      </w:r>
      <w:r w:rsidR="00FD7E42">
        <w:rPr>
          <w:rFonts w:ascii="Times New Roman" w:eastAsia="Calibri" w:hAnsi="Times New Roman" w:cs="Times New Roman"/>
        </w:rPr>
        <w:t>,</w:t>
      </w:r>
      <w:r w:rsidRPr="00150DCE">
        <w:rPr>
          <w:rFonts w:ascii="Times New Roman" w:eastAsia="Calibri" w:hAnsi="Times New Roman" w:cs="Times New Roman"/>
        </w:rPr>
        <w:t xml:space="preserve"> which may be amended from time to time for HUD reporting purposes.</w:t>
      </w:r>
    </w:p>
    <w:p w14:paraId="75628584" w14:textId="77777777" w:rsidR="006F5F40" w:rsidRPr="00B5224E" w:rsidRDefault="006F5F40" w:rsidP="00783F4C">
      <w:pPr>
        <w:autoSpaceDE w:val="0"/>
        <w:autoSpaceDN w:val="0"/>
        <w:adjustRightInd w:val="0"/>
        <w:spacing w:after="0" w:line="240" w:lineRule="auto"/>
        <w:rPr>
          <w:rFonts w:ascii="Times New Roman" w:eastAsia="Times New Roman" w:hAnsi="Times New Roman" w:cs="Times New Roman"/>
          <w:snapToGrid w:val="0"/>
          <w:u w:val="single"/>
        </w:rPr>
      </w:pPr>
    </w:p>
    <w:sectPr w:rsidR="006F5F40" w:rsidRPr="00B5224E" w:rsidSect="00B5224E">
      <w:headerReference w:type="default" r:id="rId11"/>
      <w:footerReference w:type="default" r:id="rId12"/>
      <w:pgSz w:w="12240" w:h="15840"/>
      <w:pgMar w:top="1440" w:right="1440" w:bottom="1440" w:left="1440" w:header="720" w:footer="5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3B6E" w14:textId="77777777" w:rsidR="001F0BB5" w:rsidRDefault="001F0BB5" w:rsidP="00845849">
      <w:pPr>
        <w:spacing w:after="0" w:line="240" w:lineRule="auto"/>
      </w:pPr>
      <w:r>
        <w:separator/>
      </w:r>
    </w:p>
  </w:endnote>
  <w:endnote w:type="continuationSeparator" w:id="0">
    <w:p w14:paraId="35745DB3" w14:textId="77777777" w:rsidR="001F0BB5" w:rsidRDefault="001F0BB5" w:rsidP="00845849">
      <w:pPr>
        <w:spacing w:after="0" w:line="240" w:lineRule="auto"/>
      </w:pPr>
      <w:r>
        <w:continuationSeparator/>
      </w:r>
    </w:p>
  </w:endnote>
  <w:endnote w:type="continuationNotice" w:id="1">
    <w:p w14:paraId="214ACA22" w14:textId="77777777" w:rsidR="001F0BB5" w:rsidRDefault="001F0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CA41" w14:textId="195BA07C" w:rsidR="00DA0DA0" w:rsidRDefault="000D6949" w:rsidP="00783F4C">
    <w:pPr>
      <w:pStyle w:val="Footer"/>
      <w:tabs>
        <w:tab w:val="clear" w:pos="8640"/>
        <w:tab w:val="right" w:pos="9360"/>
      </w:tabs>
    </w:pPr>
    <w:r>
      <w:rPr>
        <w:rFonts w:ascii="Times New Roman" w:hAnsi="Times New Roman"/>
        <w:sz w:val="18"/>
        <w:szCs w:val="18"/>
      </w:rPr>
      <w:t xml:space="preserve">May </w:t>
    </w:r>
    <w:r w:rsidR="006D4CEF">
      <w:rPr>
        <w:rFonts w:ascii="Times New Roman" w:hAnsi="Times New Roman"/>
        <w:sz w:val="18"/>
        <w:szCs w:val="18"/>
      </w:rPr>
      <w:t>2025</w:t>
    </w:r>
    <w:r w:rsidR="00F06AE5">
      <w:rPr>
        <w:rFonts w:ascii="Times New Roman" w:hAnsi="Times New Roman"/>
        <w:sz w:val="18"/>
        <w:szCs w:val="18"/>
      </w:rPr>
      <w:tab/>
    </w:r>
    <w:r w:rsidR="00671989">
      <w:rPr>
        <w:rFonts w:ascii="Times New Roman" w:hAnsi="Times New Roman"/>
        <w:sz w:val="18"/>
        <w:szCs w:val="18"/>
      </w:rPr>
      <w:tab/>
    </w:r>
    <w:r w:rsidR="00671989" w:rsidRPr="00783F4C">
      <w:rPr>
        <w:sz w:val="18"/>
        <w:szCs w:val="18"/>
      </w:rPr>
      <w:t>Version 5</w:t>
    </w:r>
    <w:r w:rsidR="00671989">
      <w:tab/>
    </w:r>
    <w:r w:rsidR="00671989">
      <w:tab/>
      <w:t xml:space="preserve">        Version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BAE5" w14:textId="77777777" w:rsidR="001F0BB5" w:rsidRDefault="001F0BB5" w:rsidP="00845849">
      <w:pPr>
        <w:spacing w:after="0" w:line="240" w:lineRule="auto"/>
      </w:pPr>
      <w:r>
        <w:separator/>
      </w:r>
    </w:p>
  </w:footnote>
  <w:footnote w:type="continuationSeparator" w:id="0">
    <w:p w14:paraId="655D1747" w14:textId="77777777" w:rsidR="001F0BB5" w:rsidRDefault="001F0BB5" w:rsidP="00845849">
      <w:pPr>
        <w:spacing w:after="0" w:line="240" w:lineRule="auto"/>
      </w:pPr>
      <w:r>
        <w:continuationSeparator/>
      </w:r>
    </w:p>
  </w:footnote>
  <w:footnote w:type="continuationNotice" w:id="1">
    <w:p w14:paraId="688FAD8C" w14:textId="77777777" w:rsidR="001F0BB5" w:rsidRDefault="001F0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B5224E" w:rsidRPr="00B5224E" w14:paraId="29309AEF" w14:textId="77777777" w:rsidTr="00B5224E">
      <w:tc>
        <w:tcPr>
          <w:tcW w:w="4788" w:type="dxa"/>
        </w:tcPr>
        <w:p w14:paraId="3EF66940" w14:textId="11A91482" w:rsidR="00B5224E" w:rsidRPr="00B5224E" w:rsidRDefault="00B5224E" w:rsidP="00B5224E">
          <w:pPr>
            <w:spacing w:after="240"/>
            <w:contextualSpacing/>
            <w:rPr>
              <w:rFonts w:ascii="Times New Roman" w:hAnsi="Times New Roman" w:cs="Times New Roman"/>
              <w:sz w:val="16"/>
              <w:szCs w:val="16"/>
            </w:rPr>
          </w:pPr>
          <w:r w:rsidRPr="00B5224E">
            <w:rPr>
              <w:rFonts w:ascii="Times New Roman" w:hAnsi="Times New Roman" w:cs="Times New Roman"/>
              <w:sz w:val="16"/>
              <w:szCs w:val="16"/>
            </w:rPr>
            <w:t>(</w:t>
          </w:r>
          <w:r w:rsidRPr="00B5224E">
            <w:rPr>
              <w:rFonts w:ascii="Times New Roman" w:hAnsi="Times New Roman" w:cs="Times New Roman"/>
              <w:i/>
              <w:sz w:val="16"/>
              <w:szCs w:val="16"/>
            </w:rPr>
            <w:t xml:space="preserve">This is a sample; each governing body must prepare a contract that is specific to its needs and should be reviewed by the </w:t>
          </w:r>
          <w:r w:rsidR="002D1EF0">
            <w:rPr>
              <w:rFonts w:ascii="Times New Roman" w:hAnsi="Times New Roman" w:cs="Times New Roman"/>
              <w:i/>
              <w:sz w:val="16"/>
              <w:szCs w:val="16"/>
            </w:rPr>
            <w:t>subrecipient</w:t>
          </w:r>
          <w:r w:rsidRPr="00B5224E">
            <w:rPr>
              <w:rFonts w:ascii="Times New Roman" w:hAnsi="Times New Roman" w:cs="Times New Roman"/>
              <w:i/>
              <w:sz w:val="16"/>
              <w:szCs w:val="16"/>
            </w:rPr>
            <w:t>’s legal counsel.</w:t>
          </w:r>
          <w:r w:rsidRPr="00B5224E">
            <w:rPr>
              <w:rFonts w:ascii="Times New Roman" w:hAnsi="Times New Roman" w:cs="Times New Roman"/>
              <w:sz w:val="16"/>
              <w:szCs w:val="16"/>
            </w:rPr>
            <w:t>)</w:t>
          </w:r>
        </w:p>
      </w:tc>
      <w:tc>
        <w:tcPr>
          <w:tcW w:w="4788" w:type="dxa"/>
        </w:tcPr>
        <w:p w14:paraId="3AF135B4" w14:textId="1E846F42" w:rsidR="00B5224E" w:rsidRPr="00B5224E" w:rsidRDefault="002D1EF0" w:rsidP="00B5224E">
          <w:pPr>
            <w:pStyle w:val="Header"/>
            <w:tabs>
              <w:tab w:val="left" w:pos="1892"/>
            </w:tabs>
            <w:ind w:right="-90"/>
            <w:jc w:val="right"/>
            <w:rPr>
              <w:rFonts w:ascii="Times New Roman" w:hAnsi="Times New Roman"/>
              <w:b/>
              <w:sz w:val="72"/>
              <w:szCs w:val="72"/>
            </w:rPr>
          </w:pPr>
          <w:r>
            <w:rPr>
              <w:rFonts w:ascii="Times New Roman" w:hAnsi="Times New Roman"/>
              <w:b/>
              <w:sz w:val="72"/>
              <w:szCs w:val="72"/>
            </w:rPr>
            <w:t>4</w:t>
          </w:r>
          <w:r w:rsidR="00B5224E" w:rsidRPr="00B5224E">
            <w:rPr>
              <w:rFonts w:ascii="Times New Roman" w:hAnsi="Times New Roman"/>
              <w:b/>
              <w:sz w:val="72"/>
              <w:szCs w:val="72"/>
            </w:rPr>
            <w:t>-15</w:t>
          </w:r>
        </w:p>
      </w:tc>
    </w:tr>
  </w:tbl>
  <w:p w14:paraId="5F96A722" w14:textId="77777777" w:rsidR="00966B57" w:rsidRPr="00B5224E" w:rsidRDefault="00966B57" w:rsidP="00B5224E">
    <w:pPr>
      <w:pStyle w:val="Header"/>
      <w:tabs>
        <w:tab w:val="left" w:pos="1892"/>
      </w:tabs>
      <w:ind w:right="1008"/>
      <w:rPr>
        <w:rFonts w:ascii="Times New Roman" w:hAnsi="Times New Roman"/>
        <w:b/>
        <w:sz w:val="18"/>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3A5B94"/>
    <w:lvl w:ilvl="0">
      <w:numFmt w:val="bullet"/>
      <w:lvlText w:val="*"/>
      <w:lvlJc w:val="left"/>
    </w:lvl>
  </w:abstractNum>
  <w:abstractNum w:abstractNumId="1" w15:restartNumberingAfterBreak="0">
    <w:nsid w:val="05635E99"/>
    <w:multiLevelType w:val="hybridMultilevel"/>
    <w:tmpl w:val="FA94C98C"/>
    <w:lvl w:ilvl="0" w:tplc="68BC7C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938A7"/>
    <w:multiLevelType w:val="hybridMultilevel"/>
    <w:tmpl w:val="DB3620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E237C0"/>
    <w:multiLevelType w:val="hybridMultilevel"/>
    <w:tmpl w:val="62A00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27E81"/>
    <w:multiLevelType w:val="hybridMultilevel"/>
    <w:tmpl w:val="060899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17AEA"/>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E4D38"/>
    <w:multiLevelType w:val="hybridMultilevel"/>
    <w:tmpl w:val="C4BE4E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C3118"/>
    <w:multiLevelType w:val="hybridMultilevel"/>
    <w:tmpl w:val="347844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051FE"/>
    <w:multiLevelType w:val="hybridMultilevel"/>
    <w:tmpl w:val="A8F679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B0C61"/>
    <w:multiLevelType w:val="hybridMultilevel"/>
    <w:tmpl w:val="2A3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81DA0"/>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05406"/>
    <w:multiLevelType w:val="hybridMultilevel"/>
    <w:tmpl w:val="AE94DC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9985935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77299650">
    <w:abstractNumId w:val="9"/>
  </w:num>
  <w:num w:numId="3" w16cid:durableId="1863662563">
    <w:abstractNumId w:val="10"/>
  </w:num>
  <w:num w:numId="4" w16cid:durableId="917401502">
    <w:abstractNumId w:val="5"/>
  </w:num>
  <w:num w:numId="5" w16cid:durableId="197013896">
    <w:abstractNumId w:val="8"/>
  </w:num>
  <w:num w:numId="6" w16cid:durableId="111752787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658924922">
    <w:abstractNumId w:val="1"/>
  </w:num>
  <w:num w:numId="8" w16cid:durableId="28189451">
    <w:abstractNumId w:val="3"/>
  </w:num>
  <w:num w:numId="9" w16cid:durableId="478230261">
    <w:abstractNumId w:val="2"/>
  </w:num>
  <w:num w:numId="10" w16cid:durableId="1238713733">
    <w:abstractNumId w:val="7"/>
  </w:num>
  <w:num w:numId="11" w16cid:durableId="1312246502">
    <w:abstractNumId w:val="6"/>
  </w:num>
  <w:num w:numId="12" w16cid:durableId="625354724">
    <w:abstractNumId w:val="4"/>
  </w:num>
  <w:num w:numId="13" w16cid:durableId="1024598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49"/>
    <w:rsid w:val="00000B22"/>
    <w:rsid w:val="00066A10"/>
    <w:rsid w:val="000862E6"/>
    <w:rsid w:val="000B168E"/>
    <w:rsid w:val="000C5379"/>
    <w:rsid w:val="000C6858"/>
    <w:rsid w:val="000D6949"/>
    <w:rsid w:val="000F0930"/>
    <w:rsid w:val="00112C3D"/>
    <w:rsid w:val="001202D4"/>
    <w:rsid w:val="001472EB"/>
    <w:rsid w:val="00150DCE"/>
    <w:rsid w:val="001548D3"/>
    <w:rsid w:val="00162FD0"/>
    <w:rsid w:val="001735F1"/>
    <w:rsid w:val="00194076"/>
    <w:rsid w:val="001C42AA"/>
    <w:rsid w:val="001D7E83"/>
    <w:rsid w:val="001F0BB5"/>
    <w:rsid w:val="0021252E"/>
    <w:rsid w:val="0021254F"/>
    <w:rsid w:val="00214AB6"/>
    <w:rsid w:val="0023009C"/>
    <w:rsid w:val="00237414"/>
    <w:rsid w:val="00237BAA"/>
    <w:rsid w:val="00257EEC"/>
    <w:rsid w:val="002809E3"/>
    <w:rsid w:val="002C2A6F"/>
    <w:rsid w:val="002D1EF0"/>
    <w:rsid w:val="002E18F5"/>
    <w:rsid w:val="0030367E"/>
    <w:rsid w:val="0033125E"/>
    <w:rsid w:val="003338E4"/>
    <w:rsid w:val="00360499"/>
    <w:rsid w:val="0036123F"/>
    <w:rsid w:val="00391B7F"/>
    <w:rsid w:val="003A5133"/>
    <w:rsid w:val="003B4EB1"/>
    <w:rsid w:val="00410747"/>
    <w:rsid w:val="00443944"/>
    <w:rsid w:val="0044394F"/>
    <w:rsid w:val="00447AAF"/>
    <w:rsid w:val="00482A59"/>
    <w:rsid w:val="00491DD3"/>
    <w:rsid w:val="004B1D6D"/>
    <w:rsid w:val="004B7110"/>
    <w:rsid w:val="004E35D1"/>
    <w:rsid w:val="004E48CA"/>
    <w:rsid w:val="004F0465"/>
    <w:rsid w:val="00513E9F"/>
    <w:rsid w:val="00514B04"/>
    <w:rsid w:val="00522952"/>
    <w:rsid w:val="005576DF"/>
    <w:rsid w:val="00560DB7"/>
    <w:rsid w:val="00565DD1"/>
    <w:rsid w:val="005779E5"/>
    <w:rsid w:val="00585CBB"/>
    <w:rsid w:val="00590573"/>
    <w:rsid w:val="005912F1"/>
    <w:rsid w:val="00596DA3"/>
    <w:rsid w:val="005A4C29"/>
    <w:rsid w:val="005A4D9D"/>
    <w:rsid w:val="005E42DF"/>
    <w:rsid w:val="005F03F0"/>
    <w:rsid w:val="0060113C"/>
    <w:rsid w:val="00604E9A"/>
    <w:rsid w:val="00671989"/>
    <w:rsid w:val="006836C0"/>
    <w:rsid w:val="006908CC"/>
    <w:rsid w:val="006B3B60"/>
    <w:rsid w:val="006D1B84"/>
    <w:rsid w:val="006D4CEF"/>
    <w:rsid w:val="006D6EC1"/>
    <w:rsid w:val="006E22F6"/>
    <w:rsid w:val="006F1F2A"/>
    <w:rsid w:val="006F5F40"/>
    <w:rsid w:val="00704E4F"/>
    <w:rsid w:val="00734BEB"/>
    <w:rsid w:val="007546A8"/>
    <w:rsid w:val="00766CBF"/>
    <w:rsid w:val="00780AA8"/>
    <w:rsid w:val="00783F4C"/>
    <w:rsid w:val="007856B1"/>
    <w:rsid w:val="007B248A"/>
    <w:rsid w:val="007B3B21"/>
    <w:rsid w:val="007D7D1D"/>
    <w:rsid w:val="007E2E4B"/>
    <w:rsid w:val="007F3AC6"/>
    <w:rsid w:val="008110D8"/>
    <w:rsid w:val="008301D9"/>
    <w:rsid w:val="00845849"/>
    <w:rsid w:val="00847FBD"/>
    <w:rsid w:val="00857E95"/>
    <w:rsid w:val="00861B2B"/>
    <w:rsid w:val="00895E7F"/>
    <w:rsid w:val="008A3B9C"/>
    <w:rsid w:val="008B084E"/>
    <w:rsid w:val="008B6998"/>
    <w:rsid w:val="00903DEC"/>
    <w:rsid w:val="00915E76"/>
    <w:rsid w:val="00917EB8"/>
    <w:rsid w:val="009321C3"/>
    <w:rsid w:val="0093434E"/>
    <w:rsid w:val="00966B57"/>
    <w:rsid w:val="00987629"/>
    <w:rsid w:val="009A050B"/>
    <w:rsid w:val="009B1588"/>
    <w:rsid w:val="009D6B52"/>
    <w:rsid w:val="009E2235"/>
    <w:rsid w:val="009E504B"/>
    <w:rsid w:val="009F2536"/>
    <w:rsid w:val="00A129C5"/>
    <w:rsid w:val="00A8209A"/>
    <w:rsid w:val="00AD54F0"/>
    <w:rsid w:val="00AF721B"/>
    <w:rsid w:val="00B33882"/>
    <w:rsid w:val="00B5224E"/>
    <w:rsid w:val="00B81442"/>
    <w:rsid w:val="00B86F46"/>
    <w:rsid w:val="00BA3727"/>
    <w:rsid w:val="00BF3D1C"/>
    <w:rsid w:val="00BF6AAA"/>
    <w:rsid w:val="00C044D8"/>
    <w:rsid w:val="00C1076A"/>
    <w:rsid w:val="00C41657"/>
    <w:rsid w:val="00C73FCB"/>
    <w:rsid w:val="00C80B0D"/>
    <w:rsid w:val="00CB7DC4"/>
    <w:rsid w:val="00CC12E6"/>
    <w:rsid w:val="00CD15E3"/>
    <w:rsid w:val="00D0200B"/>
    <w:rsid w:val="00D070B0"/>
    <w:rsid w:val="00D20551"/>
    <w:rsid w:val="00D2271C"/>
    <w:rsid w:val="00D22BB2"/>
    <w:rsid w:val="00D533BB"/>
    <w:rsid w:val="00D70E1F"/>
    <w:rsid w:val="00D7370D"/>
    <w:rsid w:val="00DA0DA0"/>
    <w:rsid w:val="00DE318B"/>
    <w:rsid w:val="00DE497F"/>
    <w:rsid w:val="00DE6EFA"/>
    <w:rsid w:val="00E10610"/>
    <w:rsid w:val="00E34251"/>
    <w:rsid w:val="00E34B15"/>
    <w:rsid w:val="00E35CF7"/>
    <w:rsid w:val="00E37CA6"/>
    <w:rsid w:val="00E52BD5"/>
    <w:rsid w:val="00E617C5"/>
    <w:rsid w:val="00E65B9B"/>
    <w:rsid w:val="00E92AD6"/>
    <w:rsid w:val="00E96619"/>
    <w:rsid w:val="00E96944"/>
    <w:rsid w:val="00EA557B"/>
    <w:rsid w:val="00EA7EFA"/>
    <w:rsid w:val="00EC3FD4"/>
    <w:rsid w:val="00EE3264"/>
    <w:rsid w:val="00F06AE5"/>
    <w:rsid w:val="00F2693A"/>
    <w:rsid w:val="00F37742"/>
    <w:rsid w:val="00F6064D"/>
    <w:rsid w:val="00FB4A12"/>
    <w:rsid w:val="00FD525B"/>
    <w:rsid w:val="00FD7E42"/>
    <w:rsid w:val="00FF0198"/>
    <w:rsid w:val="445B8A38"/>
    <w:rsid w:val="449BA00E"/>
    <w:rsid w:val="6AD953E5"/>
    <w:rsid w:val="704050F6"/>
    <w:rsid w:val="77D0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1CC9F"/>
  <w15:docId w15:val="{DCCEE2F8-2745-4698-942C-06E30884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10"/>
  </w:style>
  <w:style w:type="paragraph" w:styleId="Heading1">
    <w:name w:val="heading 1"/>
    <w:basedOn w:val="Normal"/>
    <w:next w:val="Normal"/>
    <w:link w:val="Heading1Char"/>
    <w:qFormat/>
    <w:rsid w:val="0084584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49"/>
    <w:rPr>
      <w:rFonts w:ascii="Arial" w:eastAsia="Times New Roman" w:hAnsi="Arial" w:cs="Arial"/>
      <w:b/>
      <w:bCs/>
      <w:kern w:val="32"/>
      <w:sz w:val="32"/>
      <w:szCs w:val="32"/>
    </w:rPr>
  </w:style>
  <w:style w:type="paragraph" w:styleId="Footer">
    <w:name w:val="footer"/>
    <w:basedOn w:val="Normal"/>
    <w:link w:val="Foot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uiPriority w:val="99"/>
    <w:rsid w:val="00845849"/>
    <w:rPr>
      <w:rFonts w:ascii="CG Times" w:eastAsia="Times New Roman" w:hAnsi="CG Times" w:cs="Times New Roman"/>
      <w:snapToGrid w:val="0"/>
      <w:sz w:val="24"/>
      <w:szCs w:val="20"/>
    </w:rPr>
  </w:style>
  <w:style w:type="character" w:styleId="PageNumber">
    <w:name w:val="page number"/>
    <w:basedOn w:val="DefaultParagraphFont"/>
    <w:rsid w:val="00845849"/>
  </w:style>
  <w:style w:type="paragraph" w:styleId="Header">
    <w:name w:val="header"/>
    <w:basedOn w:val="Normal"/>
    <w:link w:val="Head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845849"/>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E9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6"/>
    <w:rPr>
      <w:rFonts w:ascii="Tahoma" w:hAnsi="Tahoma" w:cs="Tahoma"/>
      <w:sz w:val="16"/>
      <w:szCs w:val="16"/>
    </w:rPr>
  </w:style>
  <w:style w:type="paragraph" w:styleId="HTMLPreformatted">
    <w:name w:val="HTML Preformatted"/>
    <w:basedOn w:val="Normal"/>
    <w:link w:val="HTMLPreformattedChar"/>
    <w:rsid w:val="00C10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1076A"/>
    <w:rPr>
      <w:rFonts w:ascii="Arial Unicode MS" w:eastAsia="Arial Unicode MS" w:hAnsi="Arial Unicode MS" w:cs="Arial Unicode MS"/>
      <w:sz w:val="20"/>
      <w:szCs w:val="20"/>
    </w:rPr>
  </w:style>
  <w:style w:type="character" w:styleId="Hyperlink">
    <w:name w:val="Hyperlink"/>
    <w:basedOn w:val="DefaultParagraphFont"/>
    <w:rsid w:val="00D533BB"/>
    <w:rPr>
      <w:color w:val="990000"/>
      <w:u w:val="single"/>
    </w:rPr>
  </w:style>
  <w:style w:type="character" w:styleId="CommentReference">
    <w:name w:val="annotation reference"/>
    <w:basedOn w:val="DefaultParagraphFont"/>
    <w:uiPriority w:val="99"/>
    <w:semiHidden/>
    <w:unhideWhenUsed/>
    <w:rsid w:val="00214AB6"/>
    <w:rPr>
      <w:sz w:val="16"/>
      <w:szCs w:val="16"/>
    </w:rPr>
  </w:style>
  <w:style w:type="paragraph" w:styleId="CommentText">
    <w:name w:val="annotation text"/>
    <w:basedOn w:val="Normal"/>
    <w:link w:val="CommentTextChar"/>
    <w:uiPriority w:val="99"/>
    <w:semiHidden/>
    <w:unhideWhenUsed/>
    <w:rsid w:val="00214AB6"/>
    <w:pPr>
      <w:spacing w:line="240" w:lineRule="auto"/>
    </w:pPr>
    <w:rPr>
      <w:sz w:val="20"/>
      <w:szCs w:val="20"/>
    </w:rPr>
  </w:style>
  <w:style w:type="character" w:customStyle="1" w:styleId="CommentTextChar">
    <w:name w:val="Comment Text Char"/>
    <w:basedOn w:val="DefaultParagraphFont"/>
    <w:link w:val="CommentText"/>
    <w:uiPriority w:val="99"/>
    <w:semiHidden/>
    <w:rsid w:val="00214AB6"/>
    <w:rPr>
      <w:sz w:val="20"/>
      <w:szCs w:val="20"/>
    </w:rPr>
  </w:style>
  <w:style w:type="paragraph" w:styleId="CommentSubject">
    <w:name w:val="annotation subject"/>
    <w:basedOn w:val="CommentText"/>
    <w:next w:val="CommentText"/>
    <w:link w:val="CommentSubjectChar"/>
    <w:uiPriority w:val="99"/>
    <w:semiHidden/>
    <w:unhideWhenUsed/>
    <w:rsid w:val="00214AB6"/>
    <w:rPr>
      <w:b/>
      <w:bCs/>
    </w:rPr>
  </w:style>
  <w:style w:type="character" w:customStyle="1" w:styleId="CommentSubjectChar">
    <w:name w:val="Comment Subject Char"/>
    <w:basedOn w:val="CommentTextChar"/>
    <w:link w:val="CommentSubject"/>
    <w:uiPriority w:val="99"/>
    <w:semiHidden/>
    <w:rsid w:val="00214AB6"/>
    <w:rPr>
      <w:b/>
      <w:bCs/>
      <w:sz w:val="20"/>
      <w:szCs w:val="20"/>
    </w:rPr>
  </w:style>
  <w:style w:type="paragraph" w:styleId="ListParagraph">
    <w:name w:val="List Paragraph"/>
    <w:basedOn w:val="Normal"/>
    <w:uiPriority w:val="34"/>
    <w:qFormat/>
    <w:rsid w:val="001202D4"/>
    <w:pPr>
      <w:ind w:left="720"/>
      <w:contextualSpacing/>
    </w:pPr>
  </w:style>
  <w:style w:type="table" w:styleId="TableGrid">
    <w:name w:val="Table Grid"/>
    <w:basedOn w:val="TableNormal"/>
    <w:uiPriority w:val="59"/>
    <w:rsid w:val="00C73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F1F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4716">
      <w:bodyDiv w:val="1"/>
      <w:marLeft w:val="0"/>
      <w:marRight w:val="0"/>
      <w:marTop w:val="0"/>
      <w:marBottom w:val="0"/>
      <w:divBdr>
        <w:top w:val="none" w:sz="0" w:space="0" w:color="auto"/>
        <w:left w:val="none" w:sz="0" w:space="0" w:color="auto"/>
        <w:bottom w:val="none" w:sz="0" w:space="0" w:color="auto"/>
        <w:right w:val="none" w:sz="0" w:space="0" w:color="auto"/>
      </w:divBdr>
    </w:div>
    <w:div w:id="21039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AWS654NDWC4M-233607049-61341</_dlc_DocId>
    <_dlc_DocIdUrl xmlns="175e5819-97ec-4bc2-81dc-ed3b6d97d97a">
      <Url>https://intranet.la.gov/doa/ocd/compliance/_layouts/15/DocIdRedir.aspx?ID=AWS654NDWC4M-233607049-61341</Url>
      <Description>AWS654NDWC4M-233607049-61341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03C48CFA-D3F1-4462-84B5-B51B2BBFAF23}"/>
</file>

<file path=customXml/itemProps2.xml><?xml version="1.0" encoding="utf-8"?>
<ds:datastoreItem xmlns:ds="http://schemas.openxmlformats.org/officeDocument/2006/customXml" ds:itemID="{93786EE6-1839-427A-8A06-AC496FB7064E}">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54B72DD-7AE8-4331-92FB-1B165BA76950}">
  <ds:schemaRefs>
    <ds:schemaRef ds:uri="http://schemas.openxmlformats.org/officeDocument/2006/bibliography"/>
  </ds:schemaRefs>
</ds:datastoreItem>
</file>

<file path=customXml/itemProps4.xml><?xml version="1.0" encoding="utf-8"?>
<ds:datastoreItem xmlns:ds="http://schemas.openxmlformats.org/officeDocument/2006/customXml" ds:itemID="{E313C883-D3AB-4684-8BDD-E9D8EF7F89E3}"/>
</file>

<file path=customXml/itemProps5.xml><?xml version="1.0" encoding="utf-8"?>
<ds:datastoreItem xmlns:ds="http://schemas.openxmlformats.org/officeDocument/2006/customXml" ds:itemID="{37AD8776-037C-4718-853F-995F7B0FB76A}"/>
</file>

<file path=docProps/app.xml><?xml version="1.0" encoding="utf-8"?>
<Properties xmlns="http://schemas.openxmlformats.org/officeDocument/2006/extended-properties" xmlns:vt="http://schemas.openxmlformats.org/officeDocument/2006/docPropsVTypes">
  <Template>Normal.dotm</Template>
  <TotalTime>32</TotalTime>
  <Pages>18</Pages>
  <Words>9189</Words>
  <Characters>48522</Characters>
  <Application>Microsoft Office Word</Application>
  <DocSecurity>0</DocSecurity>
  <Lines>882</Lines>
  <Paragraphs>200</Paragraphs>
  <ScaleCrop>false</ScaleCrop>
  <HeadingPairs>
    <vt:vector size="2" baseType="variant">
      <vt:variant>
        <vt:lpstr>Title</vt:lpstr>
      </vt:variant>
      <vt:variant>
        <vt:i4>1</vt:i4>
      </vt:variant>
    </vt:vector>
  </HeadingPairs>
  <TitlesOfParts>
    <vt:vector size="1" baseType="lpstr">
      <vt:lpstr>Section 10 Exhibits</vt:lpstr>
    </vt:vector>
  </TitlesOfParts>
  <Manager/>
  <Company>Reznick Group</Company>
  <LinksUpToDate>false</LinksUpToDate>
  <CharactersWithSpaces>57511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AGREEMENT   APPRAISAL SERVICES   (ACQUISITION)  </dc:title>
  <dc:subject>4-15</dc:subject>
  <dc:creator>State of Louisiana</dc:creator>
  <cp:keywords/>
  <dc:description/>
  <cp:lastModifiedBy>Faucher, Elizabeth</cp:lastModifiedBy>
  <cp:revision>43</cp:revision>
  <cp:lastPrinted>2010-02-01T19:43:00Z</cp:lastPrinted>
  <dcterms:created xsi:type="dcterms:W3CDTF">2023-05-22T21:15:00Z</dcterms:created>
  <dcterms:modified xsi:type="dcterms:W3CDTF">2025-07-16T19:42:00Z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184dca07-16a6-4ba6-81ec-25ab3a571783</vt:lpwstr>
  </property>
  <property fmtid="{D5CDD505-2E9C-101B-9397-08002B2CF9AE}" pid="8" name="_dlc_DocIdItemGuid">
    <vt:lpwstr>efe84d37-ca49-4682-a619-0f4f6cb8ebbd</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12;#Mitigation|922a0b6a-2c18-4cba-95c8-d109d66b9eca;#19;# Recovery|e5d204ba-6285-468b-b9e7-f6c3aefc190f</vt:lpwstr>
  </property>
  <property fmtid="{D5CDD505-2E9C-101B-9397-08002B2CF9AE}" pid="16" name="OCD_ProgramAdministrator">
    <vt:lpwstr/>
  </property>
</Properties>
</file>