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9D8A" w14:textId="6D4D68BB" w:rsidR="00474D10" w:rsidRDefault="009745FF" w:rsidP="3B616004">
      <w:pPr>
        <w:jc w:val="center"/>
        <w:rPr>
          <w:b/>
          <w:bCs/>
          <w:sz w:val="26"/>
          <w:szCs w:val="26"/>
          <w:u w:val="single"/>
        </w:rPr>
      </w:pPr>
      <w:r w:rsidRPr="00C45503">
        <w:rPr>
          <w:b/>
          <w:sz w:val="26"/>
          <w:szCs w:val="26"/>
          <w:u w:val="single"/>
        </w:rPr>
        <w:t>Co</w:t>
      </w:r>
      <w:r w:rsidR="00815648">
        <w:rPr>
          <w:b/>
          <w:sz w:val="26"/>
          <w:szCs w:val="26"/>
          <w:u w:val="single"/>
        </w:rPr>
        <w:t>mmunity Development Block Grant</w:t>
      </w:r>
      <w:r w:rsidR="00081340">
        <w:rPr>
          <w:b/>
          <w:sz w:val="26"/>
          <w:szCs w:val="26"/>
          <w:u w:val="single"/>
        </w:rPr>
        <w:t>-</w:t>
      </w:r>
    </w:p>
    <w:p w14:paraId="0FA8BB4F" w14:textId="04186BFD" w:rsidR="00474D10" w:rsidRDefault="00EF6B18" w:rsidP="5B74CCC4">
      <w:pPr>
        <w:jc w:val="center"/>
        <w:rPr>
          <w:b/>
          <w:bCs/>
          <w:sz w:val="26"/>
          <w:szCs w:val="26"/>
          <w:u w:val="single"/>
        </w:rPr>
      </w:pPr>
      <w:r w:rsidRPr="5B74CCC4">
        <w:rPr>
          <w:b/>
          <w:bCs/>
          <w:sz w:val="26"/>
          <w:szCs w:val="26"/>
          <w:u w:val="single"/>
        </w:rPr>
        <w:t xml:space="preserve">Disaster Recovery </w:t>
      </w:r>
      <w:r w:rsidR="31B9B065" w:rsidRPr="5B74CCC4">
        <w:rPr>
          <w:b/>
          <w:bCs/>
          <w:sz w:val="26"/>
          <w:szCs w:val="26"/>
          <w:u w:val="single"/>
        </w:rPr>
        <w:t xml:space="preserve">and Mitigation </w:t>
      </w:r>
      <w:r w:rsidRPr="5B74CCC4">
        <w:rPr>
          <w:b/>
          <w:bCs/>
          <w:sz w:val="26"/>
          <w:szCs w:val="26"/>
          <w:u w:val="single"/>
        </w:rPr>
        <w:t>Program</w:t>
      </w:r>
    </w:p>
    <w:p w14:paraId="430BB5D1" w14:textId="19945EF8" w:rsidR="009745FF" w:rsidRDefault="009745FF" w:rsidP="009745FF">
      <w:pPr>
        <w:jc w:val="center"/>
        <w:rPr>
          <w:b/>
          <w:sz w:val="26"/>
          <w:szCs w:val="26"/>
          <w:u w:val="single"/>
        </w:rPr>
      </w:pPr>
      <w:r w:rsidRPr="00C45503">
        <w:rPr>
          <w:b/>
          <w:sz w:val="26"/>
          <w:szCs w:val="26"/>
          <w:u w:val="single"/>
        </w:rPr>
        <w:t xml:space="preserve"> </w:t>
      </w:r>
      <w:bookmarkStart w:id="0" w:name="OLE_LINK35"/>
      <w:r w:rsidR="00474D10">
        <w:rPr>
          <w:b/>
          <w:sz w:val="26"/>
          <w:szCs w:val="26"/>
          <w:u w:val="single"/>
        </w:rPr>
        <w:t xml:space="preserve">Duplication of Benefits </w:t>
      </w:r>
      <w:r w:rsidR="00CB4A4B">
        <w:rPr>
          <w:b/>
          <w:sz w:val="26"/>
          <w:szCs w:val="26"/>
          <w:u w:val="single"/>
        </w:rPr>
        <w:t>Assurance</w:t>
      </w:r>
      <w:r w:rsidR="00474D10">
        <w:rPr>
          <w:b/>
          <w:sz w:val="26"/>
          <w:szCs w:val="26"/>
          <w:u w:val="single"/>
        </w:rPr>
        <w:t xml:space="preserve"> Form</w:t>
      </w:r>
      <w:bookmarkEnd w:id="0"/>
    </w:p>
    <w:p w14:paraId="334AF35C" w14:textId="77777777" w:rsidR="009745FF" w:rsidRDefault="009745FF" w:rsidP="009745FF">
      <w:pPr>
        <w:jc w:val="center"/>
        <w:rPr>
          <w:b/>
          <w:sz w:val="26"/>
          <w:szCs w:val="26"/>
          <w:u w:val="single"/>
        </w:rPr>
      </w:pPr>
    </w:p>
    <w:p w14:paraId="42A5E33D" w14:textId="384C7209" w:rsidR="00BE57D7" w:rsidRPr="00BE57D7" w:rsidRDefault="00BE57D7" w:rsidP="00BE57D7">
      <w:pPr>
        <w:pStyle w:val="ListParagraph"/>
        <w:ind w:left="0"/>
        <w:jc w:val="center"/>
        <w:rPr>
          <w:b/>
          <w:szCs w:val="24"/>
          <w:lang w:eastAsia="zh-TW"/>
        </w:rPr>
      </w:pPr>
      <w:r w:rsidRPr="00BE57D7">
        <w:rPr>
          <w:b/>
          <w:szCs w:val="24"/>
          <w:lang w:eastAsia="zh-TW"/>
        </w:rPr>
        <w:t xml:space="preserve">FEMA Public Assistance Non-Federal </w:t>
      </w:r>
      <w:r>
        <w:rPr>
          <w:b/>
          <w:szCs w:val="24"/>
          <w:lang w:eastAsia="zh-TW"/>
        </w:rPr>
        <w:t xml:space="preserve">Cost </w:t>
      </w:r>
      <w:r w:rsidRPr="00BE57D7">
        <w:rPr>
          <w:b/>
          <w:szCs w:val="24"/>
          <w:lang w:eastAsia="zh-TW"/>
        </w:rPr>
        <w:t>Share Match Program</w:t>
      </w:r>
    </w:p>
    <w:p w14:paraId="4EE58D24" w14:textId="77777777" w:rsidR="001A0E41" w:rsidRDefault="001A0E41" w:rsidP="009745FF">
      <w:pPr>
        <w:jc w:val="both"/>
      </w:pPr>
    </w:p>
    <w:p w14:paraId="57648D45" w14:textId="0F967857" w:rsidR="009745FF" w:rsidRDefault="009745FF" w:rsidP="009745FF">
      <w:pPr>
        <w:jc w:val="both"/>
      </w:pPr>
      <w:r>
        <w:t>This Community Development Block Grant</w:t>
      </w:r>
      <w:r w:rsidR="00081340">
        <w:t>-</w:t>
      </w:r>
      <w:r w:rsidR="00D640F5">
        <w:t>Disaster Recovery</w:t>
      </w:r>
      <w:r w:rsidR="00EF6B18">
        <w:t xml:space="preserve"> </w:t>
      </w:r>
      <w:r w:rsidR="47E70CBA">
        <w:t xml:space="preserve">(CDBG-DR) </w:t>
      </w:r>
      <w:r w:rsidR="50D76B86">
        <w:t xml:space="preserve">and Mitigation (CDBG-MIT) </w:t>
      </w:r>
      <w:r w:rsidR="00EF6B18">
        <w:t xml:space="preserve">Program </w:t>
      </w:r>
      <w:r w:rsidR="00257116">
        <w:t xml:space="preserve">Assurance </w:t>
      </w:r>
      <w:r w:rsidR="00EF6B18">
        <w:t xml:space="preserve">Form </w:t>
      </w:r>
      <w:r>
        <w:t xml:space="preserve">contains supplementary general conditions for use with </w:t>
      </w:r>
      <w:r w:rsidR="00D53EAF">
        <w:t>agreements</w:t>
      </w:r>
      <w:r>
        <w:t xml:space="preserve"> funded by the U.S. Department of </w:t>
      </w:r>
      <w:r w:rsidR="00474D10">
        <w:t xml:space="preserve">Housing and Urban Development </w:t>
      </w:r>
      <w:r w:rsidR="6AE85AE1">
        <w:t xml:space="preserve">(HUD) </w:t>
      </w:r>
      <w:r>
        <w:t>under Title I of the Housing and Community Development Act of 1974</w:t>
      </w:r>
      <w:r w:rsidR="00081340">
        <w:t>,</w:t>
      </w:r>
      <w:r>
        <w:t xml:space="preserve"> as am</w:t>
      </w:r>
      <w:r w:rsidR="00986303">
        <w:t>ended.</w:t>
      </w:r>
    </w:p>
    <w:p w14:paraId="5D04303E" w14:textId="55402ACA" w:rsidR="003E5049" w:rsidRDefault="003E5049" w:rsidP="000865C3">
      <w:pPr>
        <w:jc w:val="both"/>
      </w:pPr>
    </w:p>
    <w:p w14:paraId="3A6BCE26" w14:textId="6C61CD7A" w:rsidR="00580FA0" w:rsidRDefault="003E5049" w:rsidP="000865C3">
      <w:pPr>
        <w:jc w:val="both"/>
      </w:pPr>
      <w:r w:rsidRPr="5B74CCC4">
        <w:rPr>
          <w:u w:val="single"/>
        </w:rPr>
        <w:t xml:space="preserve"> </w:t>
      </w:r>
      <w:r w:rsidR="002E0C4D" w:rsidRPr="5B74CCC4">
        <w:rPr>
          <w:u w:val="single"/>
        </w:rPr>
        <w:t xml:space="preserve"> </w:t>
      </w:r>
      <w:r w:rsidR="005E6178">
        <w:rPr>
          <w:u w:val="single"/>
        </w:rPr>
        <w:t>(</w:t>
      </w:r>
      <w:r w:rsidRPr="5B74CCC4">
        <w:rPr>
          <w:i/>
          <w:iCs/>
          <w:u w:val="single"/>
        </w:rPr>
        <w:t xml:space="preserve">name of </w:t>
      </w:r>
      <w:r w:rsidR="21496B54" w:rsidRPr="5B74CCC4">
        <w:rPr>
          <w:i/>
          <w:iCs/>
          <w:u w:val="single"/>
        </w:rPr>
        <w:t>subrecipient</w:t>
      </w:r>
      <w:r w:rsidR="005E6178">
        <w:rPr>
          <w:i/>
          <w:iCs/>
          <w:u w:val="single"/>
        </w:rPr>
        <w:t>)</w:t>
      </w:r>
      <w:r w:rsidRPr="5B74CCC4">
        <w:rPr>
          <w:i/>
          <w:iCs/>
          <w:u w:val="single"/>
        </w:rPr>
        <w:t xml:space="preserve"> </w:t>
      </w:r>
      <w:r>
        <w:t xml:space="preserve">, </w:t>
      </w:r>
      <w:r w:rsidR="00081340">
        <w:t>s</w:t>
      </w:r>
      <w:r>
        <w:t xml:space="preserve">tate of Louisiana, </w:t>
      </w:r>
      <w:r w:rsidR="00474D10">
        <w:t>does hereby</w:t>
      </w:r>
      <w:r w:rsidR="004D068D">
        <w:t xml:space="preserve"> assure the</w:t>
      </w:r>
      <w:r w:rsidR="00474D10">
        <w:t xml:space="preserve"> Louisiana </w:t>
      </w:r>
      <w:r w:rsidR="008015F9">
        <w:t>Office of Community Deve</w:t>
      </w:r>
      <w:r w:rsidR="0064359E">
        <w:t>lopment</w:t>
      </w:r>
      <w:r w:rsidR="2E160269">
        <w:t xml:space="preserve"> – </w:t>
      </w:r>
      <w:r w:rsidR="769EC04E">
        <w:t>Disaster</w:t>
      </w:r>
      <w:r w:rsidR="0064359E">
        <w:t xml:space="preserve"> </w:t>
      </w:r>
      <w:r w:rsidR="2E160269">
        <w:t>Recovery</w:t>
      </w:r>
      <w:r w:rsidR="001E19A7">
        <w:t xml:space="preserve"> (LOCD-DR)</w:t>
      </w:r>
      <w:r w:rsidR="2E160269">
        <w:t xml:space="preserve"> </w:t>
      </w:r>
      <w:r w:rsidR="00474D10">
        <w:t xml:space="preserve">that </w:t>
      </w:r>
      <w:r w:rsidR="000768E5">
        <w:t>funding from alternate sources received prior to the disbursement of CDBG-DR funds are addressed as outlined i</w:t>
      </w:r>
      <w:r w:rsidR="008015F9">
        <w:t>n Project Worksheets obligated under the FEMA</w:t>
      </w:r>
      <w:r w:rsidR="001A2E68">
        <w:t xml:space="preserve"> Public Assistance P</w:t>
      </w:r>
      <w:r w:rsidR="008015F9">
        <w:t xml:space="preserve">rogram </w:t>
      </w:r>
      <w:r w:rsidR="00580FA0">
        <w:t>and/or as outlined in the</w:t>
      </w:r>
      <w:r w:rsidR="008015F9">
        <w:t xml:space="preserve"> </w:t>
      </w:r>
      <w:r w:rsidR="647FC41D">
        <w:t>Public Assistance (</w:t>
      </w:r>
      <w:r w:rsidR="008015F9">
        <w:t>P</w:t>
      </w:r>
      <w:r w:rsidR="001A2E68">
        <w:t>A</w:t>
      </w:r>
      <w:r w:rsidR="6DCF2B9C">
        <w:t>)</w:t>
      </w:r>
      <w:r w:rsidR="008015F9">
        <w:t xml:space="preserve"> Non-</w:t>
      </w:r>
      <w:r w:rsidR="007309D4">
        <w:t>F</w:t>
      </w:r>
      <w:r w:rsidR="008015F9">
        <w:t xml:space="preserve">ederal </w:t>
      </w:r>
      <w:r w:rsidR="00081340">
        <w:t xml:space="preserve">Cost </w:t>
      </w:r>
      <w:r w:rsidR="008015F9">
        <w:t>Share Match Program Agreement</w:t>
      </w:r>
      <w:r w:rsidR="00580FA0">
        <w:t xml:space="preserve"> and amendment(s). </w:t>
      </w:r>
    </w:p>
    <w:p w14:paraId="24D7863A" w14:textId="77777777" w:rsidR="00580FA0" w:rsidRDefault="00580FA0" w:rsidP="000865C3">
      <w:pPr>
        <w:jc w:val="both"/>
      </w:pPr>
    </w:p>
    <w:p w14:paraId="74C5731C" w14:textId="6B84684E" w:rsidR="00580FA0" w:rsidRDefault="002E0C4D" w:rsidP="00A51A21">
      <w:pPr>
        <w:jc w:val="both"/>
      </w:pPr>
      <w:r w:rsidRPr="5B74CCC4">
        <w:rPr>
          <w:u w:val="single"/>
        </w:rPr>
        <w:t xml:space="preserve">  </w:t>
      </w:r>
      <w:r w:rsidR="005E6178">
        <w:rPr>
          <w:u w:val="single"/>
        </w:rPr>
        <w:t>(</w:t>
      </w:r>
      <w:r w:rsidR="00E467F8" w:rsidRPr="5B74CCC4">
        <w:rPr>
          <w:i/>
          <w:iCs/>
          <w:u w:val="single"/>
        </w:rPr>
        <w:t xml:space="preserve">name of </w:t>
      </w:r>
      <w:r w:rsidR="20C1F580" w:rsidRPr="5B74CCC4">
        <w:rPr>
          <w:i/>
          <w:iCs/>
          <w:u w:val="single"/>
        </w:rPr>
        <w:t>subrecipient</w:t>
      </w:r>
      <w:r w:rsidR="00E467F8" w:rsidRPr="5B74CCC4">
        <w:rPr>
          <w:i/>
          <w:iCs/>
          <w:u w:val="single"/>
        </w:rPr>
        <w:t xml:space="preserve"> representative</w:t>
      </w:r>
      <w:r w:rsidR="005E6178">
        <w:rPr>
          <w:i/>
          <w:iCs/>
          <w:u w:val="single"/>
        </w:rPr>
        <w:t>)</w:t>
      </w:r>
      <w:r w:rsidRPr="5B74CCC4">
        <w:rPr>
          <w:i/>
          <w:iCs/>
          <w:u w:val="single"/>
        </w:rPr>
        <w:t xml:space="preserve"> </w:t>
      </w:r>
      <w:r w:rsidR="00E467F8" w:rsidRPr="5B74CCC4">
        <w:rPr>
          <w:i/>
          <w:iCs/>
        </w:rPr>
        <w:t>,</w:t>
      </w:r>
      <w:r w:rsidR="00E467F8" w:rsidRPr="5B74CCC4">
        <w:rPr>
          <w:i/>
          <w:iCs/>
          <w:u w:val="single"/>
        </w:rPr>
        <w:t xml:space="preserve"> </w:t>
      </w:r>
      <w:r w:rsidRPr="5B74CCC4">
        <w:rPr>
          <w:u w:val="single"/>
        </w:rPr>
        <w:t xml:space="preserve"> </w:t>
      </w:r>
      <w:r w:rsidR="005E6178">
        <w:rPr>
          <w:u w:val="single"/>
        </w:rPr>
        <w:t>(</w:t>
      </w:r>
      <w:r w:rsidR="00E467F8" w:rsidRPr="5B74CCC4">
        <w:rPr>
          <w:i/>
          <w:iCs/>
          <w:u w:val="single"/>
        </w:rPr>
        <w:t>title (i.e. president mayor</w:t>
      </w:r>
      <w:r w:rsidR="005E6178">
        <w:rPr>
          <w:i/>
          <w:iCs/>
          <w:u w:val="single"/>
        </w:rPr>
        <w:t xml:space="preserve">)  </w:t>
      </w:r>
      <w:r w:rsidR="7F31FE1D" w:rsidRPr="5B74CCC4">
        <w:rPr>
          <w:i/>
          <w:iCs/>
        </w:rPr>
        <w:t>,</w:t>
      </w:r>
      <w:r w:rsidR="00E467F8">
        <w:t xml:space="preserve"> affirms that i</w:t>
      </w:r>
      <w:r w:rsidR="00580FA0">
        <w:t>f any additional funds are received from duplicative resources after the disbursement of CDBG-DR</w:t>
      </w:r>
      <w:r w:rsidR="009F5B70">
        <w:t xml:space="preserve"> or CDBG-MIT</w:t>
      </w:r>
      <w:r w:rsidR="00580FA0">
        <w:t xml:space="preserve"> funds</w:t>
      </w:r>
      <w:r w:rsidR="00E467F8">
        <w:t xml:space="preserve"> </w:t>
      </w:r>
      <w:r w:rsidR="00FA5922">
        <w:t xml:space="preserve">under this </w:t>
      </w:r>
      <w:r w:rsidR="22216A8E" w:rsidRPr="00605327">
        <w:t xml:space="preserve">Program, </w:t>
      </w:r>
      <w:r w:rsidR="009F5B70" w:rsidRPr="5B74CCC4">
        <w:rPr>
          <w:u w:val="single"/>
        </w:rPr>
        <w:t xml:space="preserve">  </w:t>
      </w:r>
      <w:r w:rsidR="009F5B70">
        <w:rPr>
          <w:u w:val="single"/>
        </w:rPr>
        <w:t>(</w:t>
      </w:r>
      <w:r w:rsidR="009F5B70" w:rsidRPr="5B74CCC4">
        <w:rPr>
          <w:i/>
          <w:iCs/>
          <w:u w:val="single"/>
        </w:rPr>
        <w:t>name of subrecipient</w:t>
      </w:r>
      <w:r w:rsidR="009F5B70">
        <w:rPr>
          <w:i/>
          <w:iCs/>
          <w:u w:val="single"/>
        </w:rPr>
        <w:t>)</w:t>
      </w:r>
      <w:r w:rsidR="009F5B70" w:rsidRPr="5B74CCC4">
        <w:rPr>
          <w:i/>
          <w:iCs/>
          <w:u w:val="single"/>
        </w:rPr>
        <w:t xml:space="preserve"> </w:t>
      </w:r>
      <w:r w:rsidR="34D6759A">
        <w:t xml:space="preserve"> </w:t>
      </w:r>
      <w:r w:rsidR="00FA5922">
        <w:t xml:space="preserve">shall </w:t>
      </w:r>
      <w:r w:rsidR="00FF6DA0">
        <w:t xml:space="preserve">immediately </w:t>
      </w:r>
      <w:r w:rsidR="00FA5922">
        <w:t xml:space="preserve">notify </w:t>
      </w:r>
      <w:r w:rsidR="001E19A7">
        <w:t>L</w:t>
      </w:r>
      <w:r w:rsidR="0064359E">
        <w:t>OCD</w:t>
      </w:r>
      <w:r w:rsidR="001E19A7">
        <w:t>-DR</w:t>
      </w:r>
      <w:r w:rsidR="00580FA0">
        <w:t xml:space="preserve">. </w:t>
      </w:r>
      <w:r w:rsidR="00055371">
        <w:t xml:space="preserve">Upon notification, </w:t>
      </w:r>
      <w:r w:rsidR="001E19A7">
        <w:t>L</w:t>
      </w:r>
      <w:r w:rsidR="0064359E">
        <w:t>OCD</w:t>
      </w:r>
      <w:r w:rsidR="001E19A7">
        <w:t>-DR</w:t>
      </w:r>
      <w:r w:rsidR="00580FA0">
        <w:t xml:space="preserve"> will conduct an additional </w:t>
      </w:r>
      <w:r w:rsidR="00D640F5">
        <w:t xml:space="preserve">Duplication of Benefits </w:t>
      </w:r>
      <w:r w:rsidR="00580FA0">
        <w:t>review and will require repayment of any funds found to be duplicative</w:t>
      </w:r>
      <w:r w:rsidR="00FF6DA0">
        <w:t xml:space="preserve"> as a result</w:t>
      </w:r>
      <w:r w:rsidR="00580FA0">
        <w:t xml:space="preserve">. </w:t>
      </w:r>
      <w:r w:rsidR="00055371">
        <w:t xml:space="preserve">In addition, </w:t>
      </w:r>
      <w:r w:rsidR="00F37D39" w:rsidRPr="5B74CCC4">
        <w:rPr>
          <w:u w:val="single"/>
        </w:rPr>
        <w:t xml:space="preserve"> </w:t>
      </w:r>
      <w:r w:rsidRPr="5B74CCC4">
        <w:rPr>
          <w:u w:val="single"/>
        </w:rPr>
        <w:t xml:space="preserve"> </w:t>
      </w:r>
      <w:r w:rsidR="00F80772">
        <w:rPr>
          <w:u w:val="single"/>
        </w:rPr>
        <w:t>(</w:t>
      </w:r>
      <w:r w:rsidR="00F37D39" w:rsidRPr="5B74CCC4">
        <w:rPr>
          <w:i/>
          <w:iCs/>
          <w:u w:val="single"/>
        </w:rPr>
        <w:t xml:space="preserve">name of </w:t>
      </w:r>
      <w:r w:rsidR="008037D9">
        <w:rPr>
          <w:i/>
          <w:iCs/>
          <w:u w:val="single"/>
        </w:rPr>
        <w:t>subrecipien</w:t>
      </w:r>
      <w:r w:rsidR="00F80772">
        <w:rPr>
          <w:i/>
          <w:iCs/>
          <w:u w:val="single"/>
        </w:rPr>
        <w:t>t)</w:t>
      </w:r>
      <w:r w:rsidRPr="5B74CCC4">
        <w:rPr>
          <w:i/>
          <w:iCs/>
          <w:u w:val="single"/>
        </w:rPr>
        <w:t xml:space="preserve">  </w:t>
      </w:r>
      <w:r w:rsidR="00F37D39" w:rsidRPr="5B74CCC4">
        <w:rPr>
          <w:i/>
          <w:iCs/>
        </w:rPr>
        <w:t xml:space="preserve"> </w:t>
      </w:r>
      <w:r w:rsidR="00F37D39">
        <w:t xml:space="preserve">will </w:t>
      </w:r>
      <w:r w:rsidR="00055371">
        <w:t xml:space="preserve">then be required to draft a formalized </w:t>
      </w:r>
      <w:r w:rsidR="00F37D39">
        <w:t>DOB policy</w:t>
      </w:r>
      <w:r w:rsidR="00055371">
        <w:t xml:space="preserve"> t</w:t>
      </w:r>
      <w:r w:rsidR="00F37D39">
        <w:t>o outline all methods and procedures to</w:t>
      </w:r>
      <w:r w:rsidR="00D53EAF">
        <w:t xml:space="preserve"> prevent </w:t>
      </w:r>
      <w:r w:rsidR="00FF6DA0">
        <w:t xml:space="preserve">any future </w:t>
      </w:r>
      <w:r w:rsidR="006B51F8">
        <w:t>D</w:t>
      </w:r>
      <w:r w:rsidR="00D53EAF">
        <w:t xml:space="preserve">uplication of </w:t>
      </w:r>
      <w:r w:rsidR="006B51F8">
        <w:t>B</w:t>
      </w:r>
      <w:r w:rsidR="00D53EAF">
        <w:t>enefits</w:t>
      </w:r>
      <w:r w:rsidR="005F3E86">
        <w:t>,</w:t>
      </w:r>
      <w:r w:rsidR="009060C1">
        <w:t xml:space="preserve"> as required </w:t>
      </w:r>
      <w:r w:rsidR="00A04780">
        <w:t>by</w:t>
      </w:r>
      <w:r w:rsidR="009060C1">
        <w:t xml:space="preserve"> the Robert T. Stafford Disaster Relief and Emergency Assistance Act (Stafford Act)</w:t>
      </w:r>
      <w:r w:rsidR="00A04780" w:rsidRPr="5B74CCC4">
        <w:rPr>
          <w:color w:val="000000" w:themeColor="text1"/>
        </w:rPr>
        <w:t>, as amended, and Federal Register Notices 76 FR 71060 and 84 FR 28836</w:t>
      </w:r>
      <w:r w:rsidR="00D53EAF">
        <w:t>.</w:t>
      </w:r>
    </w:p>
    <w:p w14:paraId="37279334" w14:textId="1FE267B2" w:rsidR="00A25C0E" w:rsidRDefault="00A25C0E" w:rsidP="00A25C0E">
      <w:pPr>
        <w:jc w:val="both"/>
      </w:pPr>
    </w:p>
    <w:p w14:paraId="4BB0E118" w14:textId="7189CC14" w:rsidR="00CD6A99" w:rsidRDefault="00A2033E" w:rsidP="00A25C0E">
      <w:pPr>
        <w:jc w:val="both"/>
      </w:pPr>
      <w:r>
        <w:t>See the following resources for m</w:t>
      </w:r>
      <w:r w:rsidR="00CD6A99">
        <w:t>ore information or guidance regarding the calculation, identification</w:t>
      </w:r>
      <w:r w:rsidR="00D057B8">
        <w:t>,</w:t>
      </w:r>
      <w:r>
        <w:t xml:space="preserve"> </w:t>
      </w:r>
      <w:r w:rsidR="00CD6A99">
        <w:t>or classification of DOB:</w:t>
      </w:r>
    </w:p>
    <w:p w14:paraId="4D275AA2" w14:textId="6CC84159" w:rsidR="00CD6A99" w:rsidRPr="00605327" w:rsidRDefault="00CD6A99" w:rsidP="00605327">
      <w:pPr>
        <w:pStyle w:val="ListParagraph"/>
        <w:numPr>
          <w:ilvl w:val="0"/>
          <w:numId w:val="8"/>
        </w:numPr>
        <w:jc w:val="both"/>
        <w:rPr>
          <w:rStyle w:val="Hyperlink"/>
        </w:rPr>
      </w:pPr>
      <w:r>
        <w:t>CDBG-DR Laws, Regulations, and Federal Register Notices as outlined per HUD Exchange:</w:t>
      </w:r>
      <w:hyperlink r:id="rId10" w:history="1">
        <w:r w:rsidRPr="00605327">
          <w:rPr>
            <w:rStyle w:val="Hyperlink"/>
          </w:rPr>
          <w:t>https://www.hudexchange.info/programs/cdbg-dr/cdbg-dr-laws-regulations-and-federal-register-notices/</w:t>
        </w:r>
      </w:hyperlink>
    </w:p>
    <w:p w14:paraId="1D81B079" w14:textId="23483A0D" w:rsidR="00CD6A99" w:rsidRDefault="00A94A08" w:rsidP="6DBF6C73">
      <w:pPr>
        <w:pStyle w:val="ListParagraph"/>
        <w:numPr>
          <w:ilvl w:val="0"/>
          <w:numId w:val="9"/>
        </w:numPr>
        <w:jc w:val="both"/>
        <w:rPr>
          <w:szCs w:val="24"/>
        </w:rPr>
      </w:pPr>
      <w:r>
        <w:t>Chapter</w:t>
      </w:r>
      <w:r w:rsidR="00CD6A99">
        <w:t xml:space="preserve"> </w:t>
      </w:r>
      <w:r w:rsidR="008037D9">
        <w:t>1</w:t>
      </w:r>
      <w:r w:rsidR="00CD6A99">
        <w:t xml:space="preserve"> (“Administr</w:t>
      </w:r>
      <w:r w:rsidR="0064359E">
        <w:t xml:space="preserve">ation”), </w:t>
      </w:r>
      <w:r w:rsidR="00010CD5">
        <w:t>Sect</w:t>
      </w:r>
      <w:r w:rsidR="00B618D0">
        <w:t>ion</w:t>
      </w:r>
      <w:r w:rsidR="0064359E">
        <w:t xml:space="preserve"> </w:t>
      </w:r>
      <w:r w:rsidR="00B13BC1">
        <w:t>11</w:t>
      </w:r>
      <w:r w:rsidR="0064359E">
        <w:t xml:space="preserve">.0 of the </w:t>
      </w:r>
      <w:r w:rsidR="001E19A7">
        <w:t>L</w:t>
      </w:r>
      <w:r w:rsidR="0064359E">
        <w:t>OCD</w:t>
      </w:r>
      <w:r w:rsidR="001E19A7">
        <w:t>-DR</w:t>
      </w:r>
      <w:r w:rsidR="00CD6A99">
        <w:t xml:space="preserve"> Grant</w:t>
      </w:r>
      <w:r w:rsidR="009F23C4">
        <w:t xml:space="preserve"> Implementation</w:t>
      </w:r>
      <w:r w:rsidR="00CD6A99">
        <w:t xml:space="preserve"> Manual: </w:t>
      </w:r>
      <w:hyperlink r:id="rId11">
        <w:r w:rsidR="00CD6A99" w:rsidRPr="00855D59">
          <w:rPr>
            <w:rStyle w:val="Hyperlink"/>
          </w:rPr>
          <w:t>https://www.doa.la.gov/Pages/ocd-dru/DRadminManual.aspx</w:t>
        </w:r>
      </w:hyperlink>
      <w:r w:rsidR="00CD6A99">
        <w:t xml:space="preserve"> </w:t>
      </w:r>
    </w:p>
    <w:p w14:paraId="5CA161DF" w14:textId="71F7370C" w:rsidR="00CD6A99" w:rsidRDefault="00CD6A99" w:rsidP="00A25C0E">
      <w:pPr>
        <w:jc w:val="both"/>
      </w:pPr>
    </w:p>
    <w:p w14:paraId="0558784C" w14:textId="7E67264A" w:rsidR="00564339" w:rsidRDefault="42B6F3B2" w:rsidP="00EB7506">
      <w:pPr>
        <w:jc w:val="both"/>
        <w:outlineLvl w:val="0"/>
        <w:rPr>
          <w:b/>
          <w:bCs/>
          <w:caps/>
          <w:u w:val="single"/>
        </w:rPr>
      </w:pPr>
      <w:proofErr w:type="gramStart"/>
      <w:r w:rsidRPr="0052C09C">
        <w:rPr>
          <w:b/>
          <w:bCs/>
          <w:caps/>
          <w:u w:val="single"/>
        </w:rPr>
        <w:t>A</w:t>
      </w:r>
      <w:r w:rsidR="00C45F91" w:rsidRPr="0052C09C">
        <w:rPr>
          <w:b/>
          <w:bCs/>
          <w:caps/>
          <w:u w:val="single"/>
        </w:rPr>
        <w:t>uthorization</w:t>
      </w:r>
      <w:r w:rsidRPr="0052C09C">
        <w:rPr>
          <w:b/>
          <w:bCs/>
          <w:caps/>
          <w:u w:val="single"/>
        </w:rPr>
        <w:t xml:space="preserve"> </w:t>
      </w:r>
      <w:r w:rsidRPr="5A7B0671">
        <w:rPr>
          <w:b/>
          <w:bCs/>
          <w:caps/>
          <w:u w:val="single"/>
        </w:rPr>
        <w:t>;</w:t>
      </w:r>
      <w:proofErr w:type="gramEnd"/>
      <w:r w:rsidRPr="5A7B0671">
        <w:rPr>
          <w:b/>
          <w:bCs/>
          <w:caps/>
          <w:u w:val="single"/>
        </w:rPr>
        <w:t xml:space="preserve"> </w:t>
      </w:r>
    </w:p>
    <w:p w14:paraId="3AFE13A1" w14:textId="77777777" w:rsidR="00564339" w:rsidRPr="00DE7F83" w:rsidRDefault="00564339" w:rsidP="00DE7F83">
      <w:pPr>
        <w:rPr>
          <w:b/>
          <w:caps/>
          <w:u w:val="single"/>
        </w:rPr>
      </w:pPr>
    </w:p>
    <w:p w14:paraId="708EB1CE" w14:textId="05818FFF" w:rsidR="00C45F91" w:rsidRPr="00605327" w:rsidRDefault="00C45F91" w:rsidP="00DD17A3">
      <w:pPr>
        <w:jc w:val="both"/>
        <w:outlineLvl w:val="0"/>
      </w:pPr>
      <w:r w:rsidRPr="00DE7F83">
        <w:t xml:space="preserve">This </w:t>
      </w:r>
      <w:r w:rsidR="006A68EC">
        <w:t>Assurance</w:t>
      </w:r>
      <w:r w:rsidR="006A68EC" w:rsidRPr="00DE7F83">
        <w:t xml:space="preserve"> </w:t>
      </w:r>
      <w:r w:rsidRPr="00DE7F83">
        <w:t xml:space="preserve">is authorized by the </w:t>
      </w:r>
      <w:r w:rsidR="00564339">
        <w:tab/>
      </w:r>
      <w:r w:rsidR="00564339">
        <w:tab/>
      </w:r>
      <w:r w:rsidR="00564339">
        <w:tab/>
      </w:r>
      <w:r w:rsidR="00DD17A3" w:rsidRPr="00605327">
        <w:t>__________________</w:t>
      </w:r>
      <w:r w:rsidR="009F23C4">
        <w:t>____________</w:t>
      </w:r>
    </w:p>
    <w:p w14:paraId="285D5E06" w14:textId="020279E4" w:rsidR="00C45F91" w:rsidRDefault="00340FE3" w:rsidP="00DD17A3">
      <w:pPr>
        <w:ind w:left="4320" w:firstLine="720"/>
        <w:outlineLvl w:val="0"/>
        <w:rPr>
          <w:u w:val="single"/>
        </w:rPr>
      </w:pPr>
      <w:r>
        <w:rPr>
          <w:sz w:val="22"/>
          <w:szCs w:val="22"/>
        </w:rPr>
        <w:t>(</w:t>
      </w:r>
      <w:r w:rsidR="00DD17A3" w:rsidRPr="00605327">
        <w:rPr>
          <w:i/>
          <w:sz w:val="22"/>
          <w:szCs w:val="22"/>
        </w:rPr>
        <w:t xml:space="preserve">name of </w:t>
      </w:r>
      <w:r>
        <w:rPr>
          <w:i/>
          <w:sz w:val="22"/>
          <w:szCs w:val="22"/>
        </w:rPr>
        <w:t>subrecipient</w:t>
      </w:r>
      <w:r w:rsidRPr="00605327">
        <w:t>)</w:t>
      </w:r>
      <w:r w:rsidR="00DD17A3" w:rsidRPr="005F3E86">
        <w:rPr>
          <w:u w:val="single"/>
        </w:rPr>
        <w:t xml:space="preserve">  </w:t>
      </w:r>
    </w:p>
    <w:p w14:paraId="155B9BEA" w14:textId="77777777" w:rsidR="009F23C4" w:rsidRPr="00605327" w:rsidRDefault="009F23C4" w:rsidP="00605327">
      <w:pPr>
        <w:ind w:left="4320" w:firstLine="720"/>
        <w:outlineLvl w:val="0"/>
      </w:pPr>
    </w:p>
    <w:p w14:paraId="20ECCFFE" w14:textId="77777777" w:rsidR="00C45F91" w:rsidRPr="00DE7F83" w:rsidRDefault="00C45F91" w:rsidP="00C45F91">
      <w:pPr>
        <w:rPr>
          <w:u w:val="single"/>
        </w:rPr>
      </w:pPr>
      <w:r w:rsidRPr="00EB7506">
        <w:tab/>
      </w:r>
      <w:r w:rsidRPr="00EB7506">
        <w:tab/>
      </w:r>
      <w:r w:rsidRPr="00EB7506">
        <w:tab/>
      </w:r>
      <w:r w:rsidRPr="00EB7506">
        <w:tab/>
      </w:r>
      <w:r w:rsidRPr="00EB7506">
        <w:tab/>
      </w:r>
      <w:r w:rsidRPr="00DE7F83">
        <w:tab/>
      </w:r>
      <w:r w:rsidRPr="00DE7F83">
        <w:tab/>
        <w:t>By:</w:t>
      </w:r>
      <w:r w:rsidRPr="00DE7F83">
        <w:rPr>
          <w:u w:val="single"/>
        </w:rPr>
        <w:tab/>
      </w:r>
      <w:r w:rsidRPr="00DE7F83">
        <w:rPr>
          <w:u w:val="single"/>
        </w:rPr>
        <w:tab/>
      </w:r>
      <w:r w:rsidRPr="00DE7F83">
        <w:rPr>
          <w:u w:val="single"/>
        </w:rPr>
        <w:tab/>
      </w:r>
      <w:r w:rsidRPr="00DE7F83">
        <w:rPr>
          <w:u w:val="single"/>
        </w:rPr>
        <w:tab/>
      </w:r>
      <w:r w:rsidRPr="00DE7F83">
        <w:rPr>
          <w:u w:val="single"/>
        </w:rPr>
        <w:tab/>
      </w:r>
    </w:p>
    <w:p w14:paraId="37F40583" w14:textId="669614B9" w:rsidR="00C45F91" w:rsidRPr="00605327" w:rsidRDefault="00340FE3" w:rsidP="00C45F91">
      <w:pPr>
        <w:ind w:firstLine="5040"/>
        <w:rPr>
          <w:sz w:val="22"/>
          <w:szCs w:val="22"/>
          <w:u w:val="single"/>
        </w:rPr>
      </w:pPr>
      <w:r>
        <w:t>(</w:t>
      </w:r>
      <w:r w:rsidR="00C45F91" w:rsidRPr="00605327">
        <w:rPr>
          <w:i/>
          <w:sz w:val="22"/>
          <w:szCs w:val="22"/>
        </w:rPr>
        <w:t xml:space="preserve">name &amp; title of </w:t>
      </w:r>
      <w:r w:rsidR="00DD17A3" w:rsidRPr="00605327">
        <w:rPr>
          <w:i/>
          <w:sz w:val="22"/>
          <w:szCs w:val="22"/>
        </w:rPr>
        <w:t>subrecipient</w:t>
      </w:r>
      <w:r w:rsidR="00C45F91" w:rsidRPr="0060532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 w:rsidR="00C45F91" w:rsidRPr="00605327">
        <w:rPr>
          <w:i/>
          <w:sz w:val="22"/>
          <w:szCs w:val="22"/>
        </w:rPr>
        <w:t>epresentative</w:t>
      </w:r>
      <w:r>
        <w:rPr>
          <w:sz w:val="22"/>
          <w:szCs w:val="22"/>
        </w:rPr>
        <w:t>)</w:t>
      </w:r>
    </w:p>
    <w:p w14:paraId="27843BF2" w14:textId="77777777" w:rsidR="00C45F91" w:rsidRPr="00DE7F83" w:rsidRDefault="00C45F91" w:rsidP="00C45F91">
      <w:pPr>
        <w:outlineLvl w:val="0"/>
        <w:rPr>
          <w:u w:val="single"/>
        </w:rPr>
      </w:pPr>
    </w:p>
    <w:p w14:paraId="372928FB" w14:textId="719E7193" w:rsidR="00A03B6A" w:rsidRPr="002B6B6C" w:rsidRDefault="00C45F91" w:rsidP="00CD6A99">
      <w:pPr>
        <w:outlineLvl w:val="0"/>
        <w:rPr>
          <w:b/>
          <w:i/>
        </w:rPr>
      </w:pPr>
      <w:r w:rsidRPr="00EB7506">
        <w:tab/>
      </w:r>
      <w:r w:rsidRPr="00EB7506">
        <w:tab/>
      </w:r>
      <w:r w:rsidRPr="00EB7506">
        <w:tab/>
      </w:r>
      <w:r w:rsidRPr="00EB7506">
        <w:tab/>
      </w:r>
      <w:r w:rsidRPr="00EB7506">
        <w:tab/>
      </w:r>
      <w:r w:rsidRPr="00DE7F83">
        <w:tab/>
      </w:r>
      <w:r w:rsidRPr="00DE7F83">
        <w:tab/>
      </w:r>
      <w:r w:rsidR="006E3B5C">
        <w:t xml:space="preserve">Date: </w:t>
      </w:r>
      <w:r w:rsidR="006E3B5C" w:rsidRPr="00DE7F83">
        <w:rPr>
          <w:u w:val="single"/>
        </w:rPr>
        <w:tab/>
      </w:r>
      <w:r w:rsidR="006E3B5C" w:rsidRPr="00DE7F83">
        <w:rPr>
          <w:u w:val="single"/>
        </w:rPr>
        <w:tab/>
      </w:r>
      <w:r w:rsidR="006E3B5C" w:rsidRPr="00DE7F83">
        <w:rPr>
          <w:u w:val="single"/>
        </w:rPr>
        <w:tab/>
      </w:r>
      <w:r w:rsidR="006E3B5C" w:rsidRPr="00DE7F83">
        <w:rPr>
          <w:u w:val="single"/>
        </w:rPr>
        <w:tab/>
      </w:r>
      <w:r w:rsidR="006E3B5C" w:rsidRPr="00DE7F83">
        <w:rPr>
          <w:u w:val="single"/>
        </w:rPr>
        <w:tab/>
      </w:r>
    </w:p>
    <w:sectPr w:rsidR="00A03B6A" w:rsidRPr="002B6B6C" w:rsidSect="00AB3C1A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EB5DB" w14:textId="77777777" w:rsidR="00847FAD" w:rsidRDefault="00847FAD">
      <w:r>
        <w:separator/>
      </w:r>
    </w:p>
  </w:endnote>
  <w:endnote w:type="continuationSeparator" w:id="0">
    <w:p w14:paraId="3DD8A98D" w14:textId="77777777" w:rsidR="00847FAD" w:rsidRDefault="00847FAD">
      <w:r>
        <w:continuationSeparator/>
      </w:r>
    </w:p>
  </w:endnote>
  <w:endnote w:type="continuationNotice" w:id="1">
    <w:p w14:paraId="1DB8E9E8" w14:textId="77777777" w:rsidR="00847FAD" w:rsidRDefault="00847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494B" w14:textId="77777777" w:rsidR="005C42A3" w:rsidRPr="00372B49" w:rsidRDefault="005C42A3" w:rsidP="005C42A3">
    <w:pPr>
      <w:pStyle w:val="Footer"/>
      <w:rPr>
        <w:sz w:val="18"/>
        <w:szCs w:val="18"/>
      </w:rPr>
    </w:pPr>
    <w:r w:rsidRPr="00372B49">
      <w:rPr>
        <w:sz w:val="18"/>
        <w:szCs w:val="18"/>
      </w:rPr>
      <w:t>May 2025</w:t>
    </w:r>
    <w:r w:rsidRPr="00372B49">
      <w:rPr>
        <w:sz w:val="18"/>
        <w:szCs w:val="18"/>
      </w:rPr>
      <w:tab/>
    </w:r>
    <w:r w:rsidRPr="00372B49">
      <w:rPr>
        <w:sz w:val="18"/>
        <w:szCs w:val="18"/>
      </w:rPr>
      <w:tab/>
      <w:t>Version 5</w:t>
    </w:r>
  </w:p>
  <w:p w14:paraId="0681914E" w14:textId="77777777" w:rsidR="002B6B6C" w:rsidRPr="002B6B6C" w:rsidRDefault="002B6B6C" w:rsidP="002B6B6C">
    <w:pPr>
      <w:pStyle w:val="Footer"/>
      <w:rPr>
        <w:sz w:val="20"/>
      </w:rPr>
    </w:pPr>
  </w:p>
  <w:p w14:paraId="33B020FF" w14:textId="77777777" w:rsidR="002B6B6C" w:rsidRPr="002B6B6C" w:rsidRDefault="002B6B6C" w:rsidP="002B6B6C">
    <w:pPr>
      <w:pStyle w:val="Footer"/>
      <w:rPr>
        <w:sz w:val="20"/>
      </w:rPr>
    </w:pPr>
    <w:r w:rsidRPr="002B6B6C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F0E6" w14:textId="77777777" w:rsidR="00847FAD" w:rsidRDefault="00847FAD">
      <w:r>
        <w:separator/>
      </w:r>
    </w:p>
  </w:footnote>
  <w:footnote w:type="continuationSeparator" w:id="0">
    <w:p w14:paraId="40600DAC" w14:textId="77777777" w:rsidR="00847FAD" w:rsidRDefault="00847FAD">
      <w:r>
        <w:continuationSeparator/>
      </w:r>
    </w:p>
  </w:footnote>
  <w:footnote w:type="continuationNotice" w:id="1">
    <w:p w14:paraId="5B353EB6" w14:textId="77777777" w:rsidR="00847FAD" w:rsidRDefault="00847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5A94" w14:textId="2B191EBA" w:rsidR="535C84B1" w:rsidRDefault="535C84B1" w:rsidP="535C84B1">
    <w:pPr>
      <w:pStyle w:val="Header"/>
      <w:tabs>
        <w:tab w:val="left" w:pos="5805"/>
        <w:tab w:val="right" w:pos="9360"/>
      </w:tabs>
      <w:rPr>
        <w:b/>
        <w:bCs/>
        <w:sz w:val="36"/>
        <w:szCs w:val="36"/>
      </w:rPr>
    </w:pPr>
  </w:p>
  <w:p w14:paraId="576C7AF2" w14:textId="26A5E356" w:rsidR="002B6B6C" w:rsidRPr="00605327" w:rsidRDefault="005E6178" w:rsidP="00605327">
    <w:pPr>
      <w:pStyle w:val="Header"/>
      <w:tabs>
        <w:tab w:val="left" w:pos="5805"/>
        <w:tab w:val="right" w:pos="9360"/>
      </w:tabs>
      <w:jc w:val="right"/>
      <w:rPr>
        <w:b/>
        <w:sz w:val="72"/>
        <w:szCs w:val="72"/>
      </w:rPr>
    </w:pPr>
    <w:r>
      <w:rPr>
        <w:b/>
        <w:sz w:val="72"/>
        <w:szCs w:val="72"/>
      </w:rPr>
      <w:t>1-</w:t>
    </w:r>
    <w:r w:rsidR="00DB1A7F">
      <w:rPr>
        <w:b/>
        <w:sz w:val="72"/>
        <w:szCs w:val="7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580E"/>
    <w:multiLevelType w:val="hybridMultilevel"/>
    <w:tmpl w:val="FFFFFFFF"/>
    <w:lvl w:ilvl="0" w:tplc="89367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05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EF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28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A3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CA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4E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8E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A4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40852"/>
    <w:multiLevelType w:val="multilevel"/>
    <w:tmpl w:val="A802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56C91"/>
    <w:multiLevelType w:val="multilevel"/>
    <w:tmpl w:val="9EEC3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80D25"/>
    <w:multiLevelType w:val="hybridMultilevel"/>
    <w:tmpl w:val="229C3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67BB7"/>
    <w:multiLevelType w:val="hybridMultilevel"/>
    <w:tmpl w:val="EC96EBF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727787"/>
    <w:multiLevelType w:val="hybridMultilevel"/>
    <w:tmpl w:val="B9103044"/>
    <w:lvl w:ilvl="0" w:tplc="5A9A4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AE9E940"/>
    <w:multiLevelType w:val="hybridMultilevel"/>
    <w:tmpl w:val="12E2C2D0"/>
    <w:lvl w:ilvl="0" w:tplc="5A364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536B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00B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A6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29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0A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CD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69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B8A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30B9F"/>
    <w:multiLevelType w:val="hybridMultilevel"/>
    <w:tmpl w:val="43441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222DE"/>
    <w:multiLevelType w:val="hybridMultilevel"/>
    <w:tmpl w:val="BD96B328"/>
    <w:lvl w:ilvl="0" w:tplc="7F5C84A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766231">
    <w:abstractNumId w:val="5"/>
  </w:num>
  <w:num w:numId="2" w16cid:durableId="470951965">
    <w:abstractNumId w:val="8"/>
  </w:num>
  <w:num w:numId="3" w16cid:durableId="1576208197">
    <w:abstractNumId w:val="4"/>
  </w:num>
  <w:num w:numId="4" w16cid:durableId="542404336">
    <w:abstractNumId w:val="1"/>
  </w:num>
  <w:num w:numId="5" w16cid:durableId="250819340">
    <w:abstractNumId w:val="2"/>
  </w:num>
  <w:num w:numId="6" w16cid:durableId="1462266960">
    <w:abstractNumId w:val="3"/>
  </w:num>
  <w:num w:numId="7" w16cid:durableId="1969781304">
    <w:abstractNumId w:val="7"/>
  </w:num>
  <w:num w:numId="8" w16cid:durableId="706177852">
    <w:abstractNumId w:val="6"/>
  </w:num>
  <w:num w:numId="9" w16cid:durableId="193889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C7"/>
    <w:rsid w:val="00001918"/>
    <w:rsid w:val="00005DBD"/>
    <w:rsid w:val="00010CD5"/>
    <w:rsid w:val="000169AA"/>
    <w:rsid w:val="00023E81"/>
    <w:rsid w:val="0003083D"/>
    <w:rsid w:val="0003706C"/>
    <w:rsid w:val="00055371"/>
    <w:rsid w:val="000768E5"/>
    <w:rsid w:val="00077496"/>
    <w:rsid w:val="00080916"/>
    <w:rsid w:val="0008093B"/>
    <w:rsid w:val="00081340"/>
    <w:rsid w:val="00082C33"/>
    <w:rsid w:val="00084A7E"/>
    <w:rsid w:val="00085FC5"/>
    <w:rsid w:val="000865C3"/>
    <w:rsid w:val="00094FC5"/>
    <w:rsid w:val="000A1428"/>
    <w:rsid w:val="000A1716"/>
    <w:rsid w:val="000A5D61"/>
    <w:rsid w:val="000B1310"/>
    <w:rsid w:val="000D1DF3"/>
    <w:rsid w:val="000F1012"/>
    <w:rsid w:val="000F22DF"/>
    <w:rsid w:val="00103C2A"/>
    <w:rsid w:val="00104A7D"/>
    <w:rsid w:val="0011350C"/>
    <w:rsid w:val="00123A9D"/>
    <w:rsid w:val="001512C2"/>
    <w:rsid w:val="00151A1D"/>
    <w:rsid w:val="00161A94"/>
    <w:rsid w:val="0016304C"/>
    <w:rsid w:val="00164B40"/>
    <w:rsid w:val="00167964"/>
    <w:rsid w:val="00181A0F"/>
    <w:rsid w:val="00181E20"/>
    <w:rsid w:val="00193F8B"/>
    <w:rsid w:val="00194B89"/>
    <w:rsid w:val="001A01CA"/>
    <w:rsid w:val="001A0E41"/>
    <w:rsid w:val="001A2E68"/>
    <w:rsid w:val="001D26A5"/>
    <w:rsid w:val="001E19A7"/>
    <w:rsid w:val="00202E0A"/>
    <w:rsid w:val="00213828"/>
    <w:rsid w:val="00234038"/>
    <w:rsid w:val="00257116"/>
    <w:rsid w:val="002705D1"/>
    <w:rsid w:val="00277E38"/>
    <w:rsid w:val="00286734"/>
    <w:rsid w:val="002920A6"/>
    <w:rsid w:val="002952E3"/>
    <w:rsid w:val="002B0300"/>
    <w:rsid w:val="002B050F"/>
    <w:rsid w:val="002B4CDF"/>
    <w:rsid w:val="002B637D"/>
    <w:rsid w:val="002B65A3"/>
    <w:rsid w:val="002B6B6C"/>
    <w:rsid w:val="002E0C4D"/>
    <w:rsid w:val="003017D3"/>
    <w:rsid w:val="003047AB"/>
    <w:rsid w:val="00310627"/>
    <w:rsid w:val="00314FFD"/>
    <w:rsid w:val="0032305B"/>
    <w:rsid w:val="00332855"/>
    <w:rsid w:val="00340FE3"/>
    <w:rsid w:val="003568FC"/>
    <w:rsid w:val="00363299"/>
    <w:rsid w:val="00363414"/>
    <w:rsid w:val="00364D3D"/>
    <w:rsid w:val="00371925"/>
    <w:rsid w:val="003779FF"/>
    <w:rsid w:val="00380DB2"/>
    <w:rsid w:val="00397785"/>
    <w:rsid w:val="00397CAC"/>
    <w:rsid w:val="003B12D1"/>
    <w:rsid w:val="003B17A2"/>
    <w:rsid w:val="003B1B6F"/>
    <w:rsid w:val="003B5DA3"/>
    <w:rsid w:val="003C1D54"/>
    <w:rsid w:val="003C28E1"/>
    <w:rsid w:val="003E086A"/>
    <w:rsid w:val="003E0C15"/>
    <w:rsid w:val="003E5049"/>
    <w:rsid w:val="003F4B2C"/>
    <w:rsid w:val="00406752"/>
    <w:rsid w:val="0040778F"/>
    <w:rsid w:val="00415203"/>
    <w:rsid w:val="00431212"/>
    <w:rsid w:val="00432606"/>
    <w:rsid w:val="00436E85"/>
    <w:rsid w:val="00465CAB"/>
    <w:rsid w:val="00474D10"/>
    <w:rsid w:val="0048009A"/>
    <w:rsid w:val="00492232"/>
    <w:rsid w:val="004922C5"/>
    <w:rsid w:val="004976A0"/>
    <w:rsid w:val="004B7978"/>
    <w:rsid w:val="004C62C5"/>
    <w:rsid w:val="004D068D"/>
    <w:rsid w:val="004E083E"/>
    <w:rsid w:val="004F5167"/>
    <w:rsid w:val="00513C1D"/>
    <w:rsid w:val="0052361A"/>
    <w:rsid w:val="00526C23"/>
    <w:rsid w:val="0052C09C"/>
    <w:rsid w:val="00545011"/>
    <w:rsid w:val="00564339"/>
    <w:rsid w:val="00567B2A"/>
    <w:rsid w:val="00570BA1"/>
    <w:rsid w:val="005728F0"/>
    <w:rsid w:val="00580FA0"/>
    <w:rsid w:val="005A3009"/>
    <w:rsid w:val="005A71D7"/>
    <w:rsid w:val="005B6B2E"/>
    <w:rsid w:val="005C42A3"/>
    <w:rsid w:val="005C4DA5"/>
    <w:rsid w:val="005D193B"/>
    <w:rsid w:val="005D44E7"/>
    <w:rsid w:val="005D6DA1"/>
    <w:rsid w:val="005E2E6D"/>
    <w:rsid w:val="005E6178"/>
    <w:rsid w:val="005F2F27"/>
    <w:rsid w:val="005F3E86"/>
    <w:rsid w:val="00605327"/>
    <w:rsid w:val="00611DBD"/>
    <w:rsid w:val="00631DC9"/>
    <w:rsid w:val="0064359E"/>
    <w:rsid w:val="006709CC"/>
    <w:rsid w:val="00676BBD"/>
    <w:rsid w:val="006862F4"/>
    <w:rsid w:val="006A16C7"/>
    <w:rsid w:val="006A5253"/>
    <w:rsid w:val="006A68EC"/>
    <w:rsid w:val="006B51F8"/>
    <w:rsid w:val="006C2823"/>
    <w:rsid w:val="006C6149"/>
    <w:rsid w:val="006D3DDD"/>
    <w:rsid w:val="006D7419"/>
    <w:rsid w:val="006E3B5C"/>
    <w:rsid w:val="006F684C"/>
    <w:rsid w:val="006F7C0E"/>
    <w:rsid w:val="00706912"/>
    <w:rsid w:val="0073004C"/>
    <w:rsid w:val="007309D4"/>
    <w:rsid w:val="00756D77"/>
    <w:rsid w:val="007620F6"/>
    <w:rsid w:val="00774A33"/>
    <w:rsid w:val="007828E2"/>
    <w:rsid w:val="007A5FAB"/>
    <w:rsid w:val="007B0EFE"/>
    <w:rsid w:val="007B4AD5"/>
    <w:rsid w:val="007C0185"/>
    <w:rsid w:val="007D4138"/>
    <w:rsid w:val="007E3CB9"/>
    <w:rsid w:val="007E645E"/>
    <w:rsid w:val="008015F9"/>
    <w:rsid w:val="008037D9"/>
    <w:rsid w:val="00815648"/>
    <w:rsid w:val="0082203D"/>
    <w:rsid w:val="00844978"/>
    <w:rsid w:val="008457AB"/>
    <w:rsid w:val="00846003"/>
    <w:rsid w:val="00847FAD"/>
    <w:rsid w:val="00852E68"/>
    <w:rsid w:val="00855D59"/>
    <w:rsid w:val="00863A3D"/>
    <w:rsid w:val="008845F2"/>
    <w:rsid w:val="0089011F"/>
    <w:rsid w:val="00893F2C"/>
    <w:rsid w:val="008A088E"/>
    <w:rsid w:val="008A2171"/>
    <w:rsid w:val="008A2481"/>
    <w:rsid w:val="008A52C5"/>
    <w:rsid w:val="008D7857"/>
    <w:rsid w:val="008F2526"/>
    <w:rsid w:val="008F2DD2"/>
    <w:rsid w:val="008F7FAA"/>
    <w:rsid w:val="00902232"/>
    <w:rsid w:val="009038B0"/>
    <w:rsid w:val="00904098"/>
    <w:rsid w:val="009060C1"/>
    <w:rsid w:val="009216D2"/>
    <w:rsid w:val="00924F2C"/>
    <w:rsid w:val="009307ED"/>
    <w:rsid w:val="00952DD6"/>
    <w:rsid w:val="009745FF"/>
    <w:rsid w:val="009757FB"/>
    <w:rsid w:val="00983F4F"/>
    <w:rsid w:val="00986303"/>
    <w:rsid w:val="00991125"/>
    <w:rsid w:val="00991A96"/>
    <w:rsid w:val="00991AB0"/>
    <w:rsid w:val="009A182E"/>
    <w:rsid w:val="009A749E"/>
    <w:rsid w:val="009B360A"/>
    <w:rsid w:val="009D1743"/>
    <w:rsid w:val="009D1780"/>
    <w:rsid w:val="009D2F91"/>
    <w:rsid w:val="009D3FFE"/>
    <w:rsid w:val="009E1F7B"/>
    <w:rsid w:val="009E41F5"/>
    <w:rsid w:val="009F23C4"/>
    <w:rsid w:val="009F5B70"/>
    <w:rsid w:val="00A00211"/>
    <w:rsid w:val="00A01762"/>
    <w:rsid w:val="00A03B6A"/>
    <w:rsid w:val="00A04780"/>
    <w:rsid w:val="00A154F7"/>
    <w:rsid w:val="00A16EC7"/>
    <w:rsid w:val="00A2033E"/>
    <w:rsid w:val="00A22780"/>
    <w:rsid w:val="00A25C0E"/>
    <w:rsid w:val="00A417AF"/>
    <w:rsid w:val="00A42471"/>
    <w:rsid w:val="00A45385"/>
    <w:rsid w:val="00A51A21"/>
    <w:rsid w:val="00A53A0B"/>
    <w:rsid w:val="00A57C3C"/>
    <w:rsid w:val="00A7031C"/>
    <w:rsid w:val="00A94A08"/>
    <w:rsid w:val="00A9624A"/>
    <w:rsid w:val="00A9636A"/>
    <w:rsid w:val="00A976C0"/>
    <w:rsid w:val="00AA4265"/>
    <w:rsid w:val="00AA58BD"/>
    <w:rsid w:val="00AB3C1A"/>
    <w:rsid w:val="00AC7630"/>
    <w:rsid w:val="00AD0DCF"/>
    <w:rsid w:val="00AE468D"/>
    <w:rsid w:val="00B00846"/>
    <w:rsid w:val="00B069F5"/>
    <w:rsid w:val="00B10415"/>
    <w:rsid w:val="00B13BC1"/>
    <w:rsid w:val="00B266D5"/>
    <w:rsid w:val="00B40925"/>
    <w:rsid w:val="00B4678E"/>
    <w:rsid w:val="00B618D0"/>
    <w:rsid w:val="00B66799"/>
    <w:rsid w:val="00B746C3"/>
    <w:rsid w:val="00B750BD"/>
    <w:rsid w:val="00B814A2"/>
    <w:rsid w:val="00B85868"/>
    <w:rsid w:val="00B94779"/>
    <w:rsid w:val="00B95FD2"/>
    <w:rsid w:val="00BA6EC7"/>
    <w:rsid w:val="00BB2E73"/>
    <w:rsid w:val="00BC0D4A"/>
    <w:rsid w:val="00BC2BF6"/>
    <w:rsid w:val="00BC667C"/>
    <w:rsid w:val="00BD246B"/>
    <w:rsid w:val="00BE4059"/>
    <w:rsid w:val="00BE57D7"/>
    <w:rsid w:val="00BE5E91"/>
    <w:rsid w:val="00BF7964"/>
    <w:rsid w:val="00C04258"/>
    <w:rsid w:val="00C067CA"/>
    <w:rsid w:val="00C1424E"/>
    <w:rsid w:val="00C32A4E"/>
    <w:rsid w:val="00C3346A"/>
    <w:rsid w:val="00C40FCB"/>
    <w:rsid w:val="00C45F91"/>
    <w:rsid w:val="00C509CE"/>
    <w:rsid w:val="00C55072"/>
    <w:rsid w:val="00C6044F"/>
    <w:rsid w:val="00C97C90"/>
    <w:rsid w:val="00CB37E0"/>
    <w:rsid w:val="00CB4A4B"/>
    <w:rsid w:val="00CB4C97"/>
    <w:rsid w:val="00CC0DCA"/>
    <w:rsid w:val="00CC32EA"/>
    <w:rsid w:val="00CD2DD8"/>
    <w:rsid w:val="00CD6A99"/>
    <w:rsid w:val="00CF07C8"/>
    <w:rsid w:val="00CF6B30"/>
    <w:rsid w:val="00D004ED"/>
    <w:rsid w:val="00D02EA5"/>
    <w:rsid w:val="00D057B8"/>
    <w:rsid w:val="00D071D0"/>
    <w:rsid w:val="00D225DB"/>
    <w:rsid w:val="00D45FC8"/>
    <w:rsid w:val="00D53EAF"/>
    <w:rsid w:val="00D640F5"/>
    <w:rsid w:val="00D86682"/>
    <w:rsid w:val="00D95F4E"/>
    <w:rsid w:val="00DA3506"/>
    <w:rsid w:val="00DB1A7F"/>
    <w:rsid w:val="00DB21AB"/>
    <w:rsid w:val="00DD17A3"/>
    <w:rsid w:val="00DE7F83"/>
    <w:rsid w:val="00DF10F1"/>
    <w:rsid w:val="00DF1625"/>
    <w:rsid w:val="00DF62F0"/>
    <w:rsid w:val="00DF7D72"/>
    <w:rsid w:val="00E17A34"/>
    <w:rsid w:val="00E253E2"/>
    <w:rsid w:val="00E27219"/>
    <w:rsid w:val="00E34FD1"/>
    <w:rsid w:val="00E36AD2"/>
    <w:rsid w:val="00E467F8"/>
    <w:rsid w:val="00E55232"/>
    <w:rsid w:val="00E67670"/>
    <w:rsid w:val="00E80E9A"/>
    <w:rsid w:val="00E94195"/>
    <w:rsid w:val="00E95E88"/>
    <w:rsid w:val="00EB1A6C"/>
    <w:rsid w:val="00EB7506"/>
    <w:rsid w:val="00EC1D59"/>
    <w:rsid w:val="00EC3568"/>
    <w:rsid w:val="00ED194F"/>
    <w:rsid w:val="00EF6B18"/>
    <w:rsid w:val="00F03B4E"/>
    <w:rsid w:val="00F058BA"/>
    <w:rsid w:val="00F23D4E"/>
    <w:rsid w:val="00F247A9"/>
    <w:rsid w:val="00F37D39"/>
    <w:rsid w:val="00F45DA1"/>
    <w:rsid w:val="00F510B3"/>
    <w:rsid w:val="00F64C01"/>
    <w:rsid w:val="00F66879"/>
    <w:rsid w:val="00F75859"/>
    <w:rsid w:val="00F80772"/>
    <w:rsid w:val="00F96E06"/>
    <w:rsid w:val="00FA308F"/>
    <w:rsid w:val="00FA5922"/>
    <w:rsid w:val="00FE35E4"/>
    <w:rsid w:val="00FF6DA0"/>
    <w:rsid w:val="04FD6D41"/>
    <w:rsid w:val="054F2C14"/>
    <w:rsid w:val="05C4DA10"/>
    <w:rsid w:val="093796BA"/>
    <w:rsid w:val="0DAC27CC"/>
    <w:rsid w:val="12A4AC4C"/>
    <w:rsid w:val="12DA4532"/>
    <w:rsid w:val="20C1F580"/>
    <w:rsid w:val="21496B54"/>
    <w:rsid w:val="22216A8E"/>
    <w:rsid w:val="2BD47EA1"/>
    <w:rsid w:val="2D2C6E17"/>
    <w:rsid w:val="2E160269"/>
    <w:rsid w:val="31424F18"/>
    <w:rsid w:val="31B9B065"/>
    <w:rsid w:val="34D6759A"/>
    <w:rsid w:val="3B616004"/>
    <w:rsid w:val="3F237B87"/>
    <w:rsid w:val="40B651E7"/>
    <w:rsid w:val="4154B9AB"/>
    <w:rsid w:val="42AC1343"/>
    <w:rsid w:val="42B6F3B2"/>
    <w:rsid w:val="46928E98"/>
    <w:rsid w:val="47842E3A"/>
    <w:rsid w:val="47E70CBA"/>
    <w:rsid w:val="50D76B86"/>
    <w:rsid w:val="522C8D56"/>
    <w:rsid w:val="535C84B1"/>
    <w:rsid w:val="5505424E"/>
    <w:rsid w:val="57827CBD"/>
    <w:rsid w:val="5A7B0671"/>
    <w:rsid w:val="5B74CCC4"/>
    <w:rsid w:val="5C6D4A2D"/>
    <w:rsid w:val="5D45CF1A"/>
    <w:rsid w:val="5D83BA13"/>
    <w:rsid w:val="5F496942"/>
    <w:rsid w:val="60AB93A1"/>
    <w:rsid w:val="623E56DB"/>
    <w:rsid w:val="647FC41D"/>
    <w:rsid w:val="653CE35A"/>
    <w:rsid w:val="66C578E8"/>
    <w:rsid w:val="6AE85AE1"/>
    <w:rsid w:val="6CC1CAC9"/>
    <w:rsid w:val="6DBF6C73"/>
    <w:rsid w:val="6DCF2B9C"/>
    <w:rsid w:val="740954C3"/>
    <w:rsid w:val="769EC04E"/>
    <w:rsid w:val="7B56064D"/>
    <w:rsid w:val="7F31F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B7037"/>
  <w15:docId w15:val="{623D7194-9D22-4C40-A2FB-9928FDC2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780"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203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9B3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47A9"/>
    <w:pPr>
      <w:tabs>
        <w:tab w:val="center" w:pos="4320"/>
        <w:tab w:val="right" w:pos="8640"/>
      </w:tabs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F247A9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styleId="PageNumber">
    <w:name w:val="page number"/>
    <w:basedOn w:val="DefaultParagraphFont"/>
    <w:rsid w:val="00F247A9"/>
  </w:style>
  <w:style w:type="character" w:styleId="Hyperlink">
    <w:name w:val="Hyperlink"/>
    <w:basedOn w:val="DefaultParagraphFont"/>
    <w:rsid w:val="009745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745F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E0C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0C15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E0C1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0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0C15"/>
    <w:rPr>
      <w:b/>
      <w:bCs/>
    </w:rPr>
  </w:style>
  <w:style w:type="paragraph" w:styleId="ListParagraph">
    <w:name w:val="List Paragraph"/>
    <w:basedOn w:val="Normal"/>
    <w:uiPriority w:val="34"/>
    <w:qFormat/>
    <w:rsid w:val="00D071D0"/>
    <w:pPr>
      <w:ind w:left="720"/>
      <w:contextualSpacing/>
    </w:pPr>
    <w:rPr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46003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52E6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E68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852E68"/>
    <w:rPr>
      <w:vertAlign w:val="superscript"/>
    </w:rPr>
  </w:style>
  <w:style w:type="paragraph" w:styleId="Revision">
    <w:name w:val="Revision"/>
    <w:hidden/>
    <w:uiPriority w:val="99"/>
    <w:semiHidden/>
    <w:rsid w:val="00081340"/>
    <w:rPr>
      <w:sz w:val="24"/>
      <w:szCs w:val="24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5C42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6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7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6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6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a.la.gov/Pages/ocd-dru/DRadminManual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udexchange.info/programs/cdbg-dr/cdbg-dr-laws-regulations-and-federal-register-noti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AWS654NDWC4M-233607049-61296</_dlc_DocId>
    <_dlc_DocIdUrl xmlns="175e5819-97ec-4bc2-81dc-ed3b6d97d97a">
      <Url>https://intranet.la.gov/doa/ocd/compliance/_layouts/15/DocIdRedir.aspx?ID=AWS654NDWC4M-233607049-61296</Url>
      <Description>AWS654NDWC4M-233607049-61296</Description>
    </_dlc_DocIdUrl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80303E7-1AF8-492C-838D-548834D8CA07}"/>
</file>

<file path=customXml/itemProps2.xml><?xml version="1.0" encoding="utf-8"?>
<ds:datastoreItem xmlns:ds="http://schemas.openxmlformats.org/officeDocument/2006/customXml" ds:itemID="{A1FD9F7B-254F-4659-BA10-DDD36D9BD16C}"/>
</file>

<file path=customXml/itemProps3.xml><?xml version="1.0" encoding="utf-8"?>
<ds:datastoreItem xmlns:ds="http://schemas.openxmlformats.org/officeDocument/2006/customXml" ds:itemID="{569BA330-FECE-4C95-965C-4F2F3E828861}">
  <ds:schemaRefs>
    <ds:schemaRef ds:uri="http://schemas.microsoft.com/office/2006/metadata/properties"/>
    <ds:schemaRef ds:uri="http://schemas.microsoft.com/office/infopath/2007/PartnerControls"/>
    <ds:schemaRef ds:uri="1f6c0fef-740e-4428-b9c4-a20e1688d68c"/>
    <ds:schemaRef ds:uri="73241f03-ea23-452d-92d3-65ea727160b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7D07A2F-D504-48A9-8357-0103BAB190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343</Words>
  <Characters>2256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CDBG COMPLIANCE PROVISIONS</vt:lpstr>
    </vt:vector>
  </TitlesOfParts>
  <Manager/>
  <Company/>
  <LinksUpToDate>false</LinksUpToDate>
  <CharactersWithSpaces>2579</CharactersWithSpaces>
  <SharedDoc>false</SharedDoc>
  <HyperlinkBase/>
  <HLinks>
    <vt:vector size="12" baseType="variant">
      <vt:variant>
        <vt:i4>6815807</vt:i4>
      </vt:variant>
      <vt:variant>
        <vt:i4>3</vt:i4>
      </vt:variant>
      <vt:variant>
        <vt:i4>0</vt:i4>
      </vt:variant>
      <vt:variant>
        <vt:i4>5</vt:i4>
      </vt:variant>
      <vt:variant>
        <vt:lpwstr>https://www.doa.la.gov/Pages/ocd-dru/DRadminManual.aspx</vt:lpwstr>
      </vt:variant>
      <vt:variant>
        <vt:lpwstr/>
      </vt:variant>
      <vt:variant>
        <vt:i4>4653074</vt:i4>
      </vt:variant>
      <vt:variant>
        <vt:i4>0</vt:i4>
      </vt:variant>
      <vt:variant>
        <vt:i4>0</vt:i4>
      </vt:variant>
      <vt:variant>
        <vt:i4>5</vt:i4>
      </vt:variant>
      <vt:variant>
        <vt:lpwstr>https://www.hudexchange.info/programs/cdbg-dr/cdbg-dr-laws-regulations-and-federal-register-notices/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Duplication of Benefits Assurance Form</dc:title>
  <dc:subject>Exhibit 1-6</dc:subject>
  <dc:creator>State of Louisiana</dc:creator>
  <cp:keywords/>
  <dc:description/>
  <cp:lastModifiedBy>Faucher, Elizabeth</cp:lastModifiedBy>
  <cp:revision>61</cp:revision>
  <cp:lastPrinted>2019-10-22T23:37:00Z</cp:lastPrinted>
  <dcterms:created xsi:type="dcterms:W3CDTF">2023-05-23T00:03:00Z</dcterms:created>
  <dcterms:modified xsi:type="dcterms:W3CDTF">2025-08-28T16:54:00Z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PublishingContact">
    <vt:lpwstr/>
  </property>
  <property fmtid="{D5CDD505-2E9C-101B-9397-08002B2CF9AE}" pid="7" name="SeoBrowserTitle">
    <vt:lpwstr/>
  </property>
  <property fmtid="{D5CDD505-2E9C-101B-9397-08002B2CF9AE}" pid="8" name="SeoKeywords">
    <vt:lpwstr/>
  </property>
  <property fmtid="{D5CDD505-2E9C-101B-9397-08002B2CF9AE}" pid="9" name="Transparency_headline">
    <vt:lpwstr/>
  </property>
  <property fmtid="{D5CDD505-2E9C-101B-9397-08002B2CF9AE}" pid="10" name="Commissioner_img">
    <vt:lpwstr/>
  </property>
  <property fmtid="{D5CDD505-2E9C-101B-9397-08002B2CF9AE}" pid="11" name="Order">
    <vt:i4>256100</vt:i4>
  </property>
  <property fmtid="{D5CDD505-2E9C-101B-9397-08002B2CF9AE}" pid="12" name="PublishingRollupImage">
    <vt:lpwstr/>
  </property>
  <property fmtid="{D5CDD505-2E9C-101B-9397-08002B2CF9AE}" pid="13" name="Twitter_content">
    <vt:lpwstr/>
  </property>
  <property fmtid="{D5CDD505-2E9C-101B-9397-08002B2CF9AE}" pid="14" name="QL-link-1">
    <vt:lpwstr/>
  </property>
  <property fmtid="{D5CDD505-2E9C-101B-9397-08002B2CF9AE}" pid="15" name="Content_area_1">
    <vt:lpwstr/>
  </property>
  <property fmtid="{D5CDD505-2E9C-101B-9397-08002B2CF9AE}" pid="16" name="Commissioner_title_2">
    <vt:lpwstr/>
  </property>
  <property fmtid="{D5CDD505-2E9C-101B-9397-08002B2CF9AE}" pid="17" name="PublishingContactEmail">
    <vt:lpwstr/>
  </property>
  <property fmtid="{D5CDD505-2E9C-101B-9397-08002B2CF9AE}" pid="18" name="Transparency_title">
    <vt:lpwstr/>
  </property>
  <property fmtid="{D5CDD505-2E9C-101B-9397-08002B2CF9AE}" pid="19" name="Commissioner_content">
    <vt:lpwstr/>
  </property>
  <property fmtid="{D5CDD505-2E9C-101B-9397-08002B2CF9AE}" pid="20" name="QuickLink-Icon-1">
    <vt:lpwstr/>
  </property>
  <property fmtid="{D5CDD505-2E9C-101B-9397-08002B2CF9AE}" pid="21" name="RobotsNoIndex">
    <vt:bool>false</vt:bool>
  </property>
  <property fmtid="{D5CDD505-2E9C-101B-9397-08002B2CF9AE}" pid="22" name="Content_area_4">
    <vt:lpwstr/>
  </property>
  <property fmtid="{D5CDD505-2E9C-101B-9397-08002B2CF9AE}" pid="23" name="QuickLink-Icon-4">
    <vt:lpwstr/>
  </property>
  <property fmtid="{D5CDD505-2E9C-101B-9397-08002B2CF9AE}" pid="24" name="QL-link-4">
    <vt:lpwstr/>
  </property>
  <property fmtid="{D5CDD505-2E9C-101B-9397-08002B2CF9AE}" pid="25" name="SeoMetaDescription">
    <vt:lpwstr/>
  </property>
  <property fmtid="{D5CDD505-2E9C-101B-9397-08002B2CF9AE}" pid="26" name="PublishingVariationRelationshipLinkFieldID">
    <vt:lpwstr/>
  </property>
  <property fmtid="{D5CDD505-2E9C-101B-9397-08002B2CF9AE}" pid="27" name="Division_img">
    <vt:lpwstr/>
  </property>
  <property fmtid="{D5CDD505-2E9C-101B-9397-08002B2CF9AE}" pid="28" name="wic_System_Copyright">
    <vt:lpwstr/>
  </property>
  <property fmtid="{D5CDD505-2E9C-101B-9397-08002B2CF9AE}" pid="29" name="Publications_content">
    <vt:lpwstr/>
  </property>
  <property fmtid="{D5CDD505-2E9C-101B-9397-08002B2CF9AE}" pid="30" name="Publications_title">
    <vt:lpwstr/>
  </property>
  <property fmtid="{D5CDD505-2E9C-101B-9397-08002B2CF9AE}" pid="31" name="Content_area_2">
    <vt:lpwstr/>
  </property>
  <property fmtid="{D5CDD505-2E9C-101B-9397-08002B2CF9AE}" pid="32" name="QL-link-2">
    <vt:lpwstr/>
  </property>
  <property fmtid="{D5CDD505-2E9C-101B-9397-08002B2CF9AE}" pid="33" name="Audience">
    <vt:lpwstr/>
  </property>
  <property fmtid="{D5CDD505-2E9C-101B-9397-08002B2CF9AE}" pid="34" name="QuickLink-Icon-2">
    <vt:lpwstr/>
  </property>
  <property fmtid="{D5CDD505-2E9C-101B-9397-08002B2CF9AE}" pid="35" name="News_content">
    <vt:lpwstr/>
  </property>
  <property fmtid="{D5CDD505-2E9C-101B-9397-08002B2CF9AE}" pid="36" name="Commissioner_headline">
    <vt:lpwstr/>
  </property>
  <property fmtid="{D5CDD505-2E9C-101B-9397-08002B2CF9AE}" pid="37" name="Content_area_5">
    <vt:lpwstr/>
  </property>
  <property fmtid="{D5CDD505-2E9C-101B-9397-08002B2CF9AE}" pid="38" name="PublishingIsFurlPage">
    <vt:bool>false</vt:bool>
  </property>
  <property fmtid="{D5CDD505-2E9C-101B-9397-08002B2CF9AE}" pid="39" name="News_title">
    <vt:lpwstr/>
  </property>
  <property fmtid="{D5CDD505-2E9C-101B-9397-08002B2CF9AE}" pid="40" name="Commissioner_title_1">
    <vt:lpwstr/>
  </property>
  <property fmtid="{D5CDD505-2E9C-101B-9397-08002B2CF9AE}" pid="41" name="PublishingContactPicture">
    <vt:lpwstr/>
  </property>
  <property fmtid="{D5CDD505-2E9C-101B-9397-08002B2CF9AE}" pid="42" name="PublishingVariationGroupID">
    <vt:lpwstr/>
  </property>
  <property fmtid="{D5CDD505-2E9C-101B-9397-08002B2CF9AE}" pid="43" name="vti_imgdate">
    <vt:lpwstr/>
  </property>
  <property fmtid="{D5CDD505-2E9C-101B-9397-08002B2CF9AE}" pid="44" name="QL-link-3">
    <vt:lpwstr/>
  </property>
  <property fmtid="{D5CDD505-2E9C-101B-9397-08002B2CF9AE}" pid="45" name="PublishingContactName">
    <vt:lpwstr/>
  </property>
  <property fmtid="{D5CDD505-2E9C-101B-9397-08002B2CF9AE}" pid="46" name="Transparency_content">
    <vt:lpwstr/>
  </property>
  <property fmtid="{D5CDD505-2E9C-101B-9397-08002B2CF9AE}" pid="47" name="Comments">
    <vt:lpwstr/>
  </property>
  <property fmtid="{D5CDD505-2E9C-101B-9397-08002B2CF9AE}" pid="48" name="Transparency_img">
    <vt:lpwstr/>
  </property>
  <property fmtid="{D5CDD505-2E9C-101B-9397-08002B2CF9AE}" pid="49" name="Twitter_title">
    <vt:lpwstr/>
  </property>
  <property fmtid="{D5CDD505-2E9C-101B-9397-08002B2CF9AE}" pid="50" name="Content_area_3">
    <vt:lpwstr/>
  </property>
  <property fmtid="{D5CDD505-2E9C-101B-9397-08002B2CF9AE}" pid="51" name="PublishingPageLayout">
    <vt:lpwstr/>
  </property>
  <property fmtid="{D5CDD505-2E9C-101B-9397-08002B2CF9AE}" pid="52" name="QuickLink-Icon-3">
    <vt:lpwstr/>
  </property>
  <property fmtid="{D5CDD505-2E9C-101B-9397-08002B2CF9AE}" pid="53" name="MediaServiceImageTags">
    <vt:lpwstr/>
  </property>
  <property fmtid="{D5CDD505-2E9C-101B-9397-08002B2CF9AE}" pid="54" name="GrammarlyDocumentId">
    <vt:lpwstr>a615aca7-9487-4457-aa91-67baa893fd21</vt:lpwstr>
  </property>
  <property fmtid="{D5CDD505-2E9C-101B-9397-08002B2CF9AE}" pid="55" name="_dlc_DocIdItemGuid">
    <vt:lpwstr>5445bcaf-8794-4f24-bc66-4aca36d892c9</vt:lpwstr>
  </property>
  <property fmtid="{D5CDD505-2E9C-101B-9397-08002B2CF9AE}" pid="56" name="OCD_DocType">
    <vt:lpwstr>27;#Manuals|47cd676e-de80-4025-bc10-d455e22351a2</vt:lpwstr>
  </property>
  <property fmtid="{D5CDD505-2E9C-101B-9397-08002B2CF9AE}" pid="57" name="TaxKeyword">
    <vt:lpwstr/>
  </property>
  <property fmtid="{D5CDD505-2E9C-101B-9397-08002B2CF9AE}" pid="58" name="OCD_Reoccurence">
    <vt:lpwstr/>
  </property>
  <property fmtid="{D5CDD505-2E9C-101B-9397-08002B2CF9AE}" pid="59" name="OCD_Department">
    <vt:lpwstr>49;#Compliance|71ba37d3-af14-46ad-9b78-83f5a8cb9dd4</vt:lpwstr>
  </property>
  <property fmtid="{D5CDD505-2E9C-101B-9397-08002B2CF9AE}" pid="60" name="TaxKeywordTaxHTField">
    <vt:lpwstr/>
  </property>
  <property fmtid="{D5CDD505-2E9C-101B-9397-08002B2CF9AE}" pid="61" name="OCD_Event">
    <vt:lpwstr>68;#All|edcb62e5-8053-4726-8424-95caf6aa462f</vt:lpwstr>
  </property>
  <property fmtid="{D5CDD505-2E9C-101B-9397-08002B2CF9AE}" pid="62" name="OCD_FundingSource">
    <vt:lpwstr>19;#Recovery|e5d204ba-6285-468b-b9e7-f6c3aefc190f;#12;# Mitigation|922a0b6a-2c18-4cba-95c8-d109d66b9eca</vt:lpwstr>
  </property>
  <property fmtid="{D5CDD505-2E9C-101B-9397-08002B2CF9AE}" pid="63" name="OCD_ProgramAdministrator">
    <vt:lpwstr/>
  </property>
</Properties>
</file>